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79" w:rsidRPr="009A775F" w:rsidRDefault="00454779" w:rsidP="00360753">
      <w:pPr>
        <w:spacing w:after="0" w:line="240" w:lineRule="auto"/>
        <w:jc w:val="both"/>
        <w:rPr>
          <w:rFonts w:ascii="Verdana" w:hAnsi="Verdana"/>
          <w:sz w:val="20"/>
          <w:szCs w:val="20"/>
          <w:lang w:val="es-ES"/>
        </w:rPr>
      </w:pPr>
    </w:p>
    <w:p w:rsidR="00387943" w:rsidRPr="009A775F" w:rsidRDefault="00387943" w:rsidP="00030188">
      <w:pPr>
        <w:spacing w:after="0" w:line="240" w:lineRule="auto"/>
        <w:jc w:val="both"/>
        <w:rPr>
          <w:rFonts w:ascii="Verdana" w:hAnsi="Verdana"/>
          <w:sz w:val="20"/>
          <w:szCs w:val="20"/>
          <w:lang w:val="es-ES"/>
        </w:rPr>
      </w:pPr>
    </w:p>
    <w:p w:rsidR="00387943" w:rsidRPr="009A775F" w:rsidRDefault="00387943" w:rsidP="00030188">
      <w:pPr>
        <w:spacing w:after="0" w:line="240" w:lineRule="auto"/>
        <w:jc w:val="both"/>
        <w:rPr>
          <w:rFonts w:ascii="Verdana" w:hAnsi="Verdana"/>
          <w:sz w:val="20"/>
          <w:szCs w:val="20"/>
          <w:lang w:val="es-ES"/>
        </w:rPr>
      </w:pPr>
    </w:p>
    <w:p w:rsidR="00387943" w:rsidRPr="009A775F" w:rsidRDefault="00D278AE" w:rsidP="00030188">
      <w:pPr>
        <w:spacing w:after="0" w:line="240" w:lineRule="auto"/>
        <w:jc w:val="both"/>
        <w:rPr>
          <w:rFonts w:ascii="Verdana" w:hAnsi="Verdana"/>
          <w:sz w:val="20"/>
          <w:szCs w:val="20"/>
          <w:lang w:val="es-ES"/>
        </w:rPr>
      </w:pPr>
      <w:r w:rsidRPr="009A775F">
        <w:rPr>
          <w:rFonts w:ascii="Verdana" w:hAnsi="Verdana"/>
          <w:sz w:val="20"/>
          <w:szCs w:val="20"/>
          <w:lang w:val="es-ES"/>
        </w:rPr>
        <w:t>Hospital Docente clínico Quirúrgico “Dr. León Cuervo Rubio”</w:t>
      </w:r>
    </w:p>
    <w:p w:rsidR="00387943" w:rsidRPr="009A775F" w:rsidRDefault="00387943" w:rsidP="00030188">
      <w:pPr>
        <w:spacing w:after="0" w:line="240" w:lineRule="auto"/>
        <w:jc w:val="both"/>
        <w:rPr>
          <w:rFonts w:ascii="Verdana" w:hAnsi="Verdana"/>
          <w:sz w:val="20"/>
          <w:szCs w:val="20"/>
          <w:lang w:val="es-ES"/>
        </w:rPr>
      </w:pPr>
    </w:p>
    <w:p w:rsidR="00D278AE" w:rsidRPr="009A775F" w:rsidRDefault="00454779" w:rsidP="00030188">
      <w:pPr>
        <w:spacing w:after="0" w:line="240" w:lineRule="auto"/>
        <w:jc w:val="both"/>
        <w:rPr>
          <w:rFonts w:ascii="Verdana" w:hAnsi="Verdana"/>
          <w:sz w:val="20"/>
          <w:szCs w:val="20"/>
          <w:lang w:val="es-ES"/>
        </w:rPr>
      </w:pPr>
      <w:r w:rsidRPr="009A775F">
        <w:rPr>
          <w:rFonts w:ascii="Verdana" w:hAnsi="Verdana"/>
          <w:sz w:val="20"/>
          <w:szCs w:val="20"/>
          <w:lang w:val="es-ES"/>
        </w:rPr>
        <w:t>Caracterización</w:t>
      </w:r>
      <w:r w:rsidR="00030188" w:rsidRPr="009A775F">
        <w:rPr>
          <w:rFonts w:ascii="Verdana" w:hAnsi="Verdana"/>
          <w:sz w:val="20"/>
          <w:szCs w:val="20"/>
          <w:lang w:val="es-ES"/>
        </w:rPr>
        <w:t xml:space="preserve"> clínico-epidemiológica de la transfusión en el hospital Dr. </w:t>
      </w:r>
      <w:r w:rsidR="00DE5E1C" w:rsidRPr="009A775F">
        <w:rPr>
          <w:rFonts w:ascii="Verdana" w:hAnsi="Verdana"/>
          <w:sz w:val="20"/>
          <w:szCs w:val="20"/>
          <w:lang w:val="es-ES"/>
        </w:rPr>
        <w:t>“León Cuervo Rubio” año 2015</w:t>
      </w:r>
    </w:p>
    <w:p w:rsidR="00190FB9" w:rsidRPr="009A775F" w:rsidRDefault="00190FB9" w:rsidP="00030188">
      <w:pPr>
        <w:spacing w:after="0" w:line="240" w:lineRule="auto"/>
        <w:jc w:val="both"/>
        <w:rPr>
          <w:rFonts w:ascii="Verdana" w:hAnsi="Verdana" w:cs="Verdana"/>
          <w:sz w:val="20"/>
          <w:szCs w:val="20"/>
          <w:vertAlign w:val="superscript"/>
          <w:lang w:val="es-MX" w:eastAsia="es-ES"/>
        </w:rPr>
      </w:pPr>
      <w:r w:rsidRPr="009A775F">
        <w:rPr>
          <w:rFonts w:ascii="Verdana" w:hAnsi="Verdana" w:cs="Verdana"/>
          <w:sz w:val="20"/>
          <w:szCs w:val="20"/>
          <w:lang w:val="es-ES" w:eastAsia="es-ES"/>
        </w:rPr>
        <w:t xml:space="preserve">Dianelys </w:t>
      </w:r>
      <w:proofErr w:type="spellStart"/>
      <w:r w:rsidRPr="009A775F">
        <w:rPr>
          <w:rFonts w:ascii="Verdana" w:hAnsi="Verdana" w:cs="Verdana"/>
          <w:sz w:val="20"/>
          <w:szCs w:val="20"/>
          <w:lang w:val="es-ES" w:eastAsia="es-ES"/>
        </w:rPr>
        <w:t>Diaz</w:t>
      </w:r>
      <w:proofErr w:type="spellEnd"/>
      <w:r w:rsidRPr="009A775F">
        <w:rPr>
          <w:rFonts w:ascii="Verdana" w:hAnsi="Verdana" w:cs="Verdana"/>
          <w:sz w:val="20"/>
          <w:szCs w:val="20"/>
          <w:lang w:val="es-ES" w:eastAsia="es-ES"/>
        </w:rPr>
        <w:t xml:space="preserve"> </w:t>
      </w:r>
      <w:r w:rsidR="004B70CF" w:rsidRPr="009A775F">
        <w:rPr>
          <w:rFonts w:ascii="Verdana" w:hAnsi="Verdana" w:cs="Verdana"/>
          <w:sz w:val="20"/>
          <w:szCs w:val="20"/>
          <w:lang w:val="es-ES" w:eastAsia="es-ES"/>
        </w:rPr>
        <w:t>Padilla</w:t>
      </w:r>
      <w:r w:rsidR="004B70CF" w:rsidRPr="009A775F">
        <w:rPr>
          <w:rFonts w:ascii="Verdana" w:hAnsi="Verdana" w:cs="Verdana"/>
          <w:sz w:val="20"/>
          <w:szCs w:val="20"/>
          <w:vertAlign w:val="superscript"/>
          <w:lang w:val="es-MX" w:eastAsia="es-ES"/>
        </w:rPr>
        <w:t>1</w:t>
      </w:r>
      <w:r w:rsidR="004B70CF" w:rsidRPr="009A775F">
        <w:rPr>
          <w:rFonts w:ascii="Verdana" w:hAnsi="Verdana" w:cs="Verdana"/>
          <w:sz w:val="20"/>
          <w:szCs w:val="20"/>
          <w:lang w:val="es-ES" w:eastAsia="es-ES"/>
        </w:rPr>
        <w:t>,</w:t>
      </w:r>
      <w:r w:rsidRPr="009A775F">
        <w:rPr>
          <w:rFonts w:ascii="Verdana" w:hAnsi="Verdana" w:cs="Verdana"/>
          <w:sz w:val="20"/>
          <w:szCs w:val="20"/>
          <w:lang w:val="es-ES" w:eastAsia="es-ES"/>
        </w:rPr>
        <w:t xml:space="preserve"> Silvia María </w:t>
      </w:r>
      <w:proofErr w:type="spellStart"/>
      <w:r w:rsidRPr="009A775F">
        <w:rPr>
          <w:rFonts w:ascii="Verdana" w:hAnsi="Verdana" w:cs="Verdana"/>
          <w:sz w:val="20"/>
          <w:szCs w:val="20"/>
          <w:lang w:val="es-ES" w:eastAsia="es-ES"/>
        </w:rPr>
        <w:t>Melians</w:t>
      </w:r>
      <w:proofErr w:type="spellEnd"/>
      <w:r w:rsidRPr="009A775F">
        <w:rPr>
          <w:rFonts w:ascii="Verdana" w:hAnsi="Verdana" w:cs="Verdana"/>
          <w:sz w:val="20"/>
          <w:szCs w:val="20"/>
          <w:lang w:val="es-ES" w:eastAsia="es-ES"/>
        </w:rPr>
        <w:t xml:space="preserve"> Abreu</w:t>
      </w:r>
      <w:r w:rsidR="00030188" w:rsidRPr="009A775F">
        <w:rPr>
          <w:rFonts w:ascii="Verdana" w:hAnsi="Verdana" w:cs="Verdana"/>
          <w:sz w:val="20"/>
          <w:szCs w:val="20"/>
          <w:vertAlign w:val="superscript"/>
          <w:lang w:val="es-MX" w:eastAsia="es-ES"/>
        </w:rPr>
        <w:t>2</w:t>
      </w:r>
      <w:r w:rsidRPr="009A775F">
        <w:rPr>
          <w:rFonts w:ascii="Verdana" w:hAnsi="Verdana" w:cs="Verdana"/>
          <w:sz w:val="20"/>
          <w:szCs w:val="20"/>
          <w:lang w:val="es-ES" w:eastAsia="es-ES"/>
        </w:rPr>
        <w:t xml:space="preserve">, </w:t>
      </w:r>
      <w:proofErr w:type="spellStart"/>
      <w:r w:rsidRPr="009A775F">
        <w:rPr>
          <w:rFonts w:ascii="Verdana" w:hAnsi="Verdana" w:cs="Verdana"/>
          <w:sz w:val="20"/>
          <w:szCs w:val="20"/>
          <w:lang w:val="es-ES" w:eastAsia="es-ES"/>
        </w:rPr>
        <w:t>Maday</w:t>
      </w:r>
      <w:proofErr w:type="spellEnd"/>
      <w:r w:rsidRPr="009A775F">
        <w:rPr>
          <w:rFonts w:ascii="Verdana" w:hAnsi="Verdana" w:cs="Verdana"/>
          <w:sz w:val="20"/>
          <w:szCs w:val="20"/>
          <w:lang w:val="es-ES" w:eastAsia="es-ES"/>
        </w:rPr>
        <w:t xml:space="preserve"> Padrino González</w:t>
      </w:r>
      <w:r w:rsidR="00030188" w:rsidRPr="009A775F">
        <w:rPr>
          <w:rFonts w:ascii="Verdana" w:hAnsi="Verdana" w:cs="Verdana"/>
          <w:sz w:val="20"/>
          <w:szCs w:val="20"/>
          <w:vertAlign w:val="superscript"/>
          <w:lang w:val="es-MX" w:eastAsia="es-ES"/>
        </w:rPr>
        <w:t>3</w:t>
      </w:r>
      <w:r w:rsidR="001644AC" w:rsidRPr="009A775F">
        <w:rPr>
          <w:rFonts w:ascii="Verdana" w:hAnsi="Verdana" w:cs="Verdana"/>
          <w:sz w:val="20"/>
          <w:szCs w:val="20"/>
          <w:lang w:val="es-ES" w:eastAsia="es-ES"/>
        </w:rPr>
        <w:t xml:space="preserve">, Ivette </w:t>
      </w:r>
      <w:proofErr w:type="spellStart"/>
      <w:r w:rsidR="001644AC" w:rsidRPr="009A775F">
        <w:rPr>
          <w:rFonts w:ascii="Verdana" w:hAnsi="Verdana" w:cs="Verdana"/>
          <w:sz w:val="20"/>
          <w:szCs w:val="20"/>
          <w:lang w:val="es-ES" w:eastAsia="es-ES"/>
        </w:rPr>
        <w:t>Gonzále</w:t>
      </w:r>
      <w:proofErr w:type="spellEnd"/>
      <w:r w:rsidR="001644AC" w:rsidRPr="009A775F">
        <w:rPr>
          <w:rFonts w:ascii="Verdana" w:hAnsi="Verdana" w:cs="Verdana"/>
          <w:sz w:val="20"/>
          <w:szCs w:val="20"/>
          <w:lang w:val="es-MX" w:eastAsia="es-ES"/>
        </w:rPr>
        <w:t>z</w:t>
      </w:r>
      <w:r w:rsidRPr="009A775F">
        <w:rPr>
          <w:rFonts w:ascii="Verdana" w:hAnsi="Verdana" w:cs="Verdana"/>
          <w:sz w:val="20"/>
          <w:szCs w:val="20"/>
          <w:lang w:val="es-ES" w:eastAsia="es-ES"/>
        </w:rPr>
        <w:t xml:space="preserve"> </w:t>
      </w:r>
      <w:r w:rsidR="004B70CF" w:rsidRPr="009A775F">
        <w:rPr>
          <w:rFonts w:ascii="Verdana" w:hAnsi="Verdana" w:cs="Verdana"/>
          <w:sz w:val="20"/>
          <w:szCs w:val="20"/>
          <w:lang w:val="es-ES" w:eastAsia="es-ES"/>
        </w:rPr>
        <w:t>Fajardo</w:t>
      </w:r>
      <w:r w:rsidR="004B70CF" w:rsidRPr="009A775F">
        <w:rPr>
          <w:rFonts w:ascii="Verdana" w:hAnsi="Verdana" w:cs="Verdana"/>
          <w:sz w:val="20"/>
          <w:szCs w:val="20"/>
          <w:vertAlign w:val="superscript"/>
          <w:lang w:val="es-MX" w:eastAsia="es-ES"/>
        </w:rPr>
        <w:t>4</w:t>
      </w:r>
      <w:r w:rsidR="004B70CF" w:rsidRPr="009A775F">
        <w:rPr>
          <w:rFonts w:ascii="Verdana" w:hAnsi="Verdana" w:cs="Verdana"/>
          <w:sz w:val="20"/>
          <w:szCs w:val="20"/>
          <w:lang w:val="es-MX" w:eastAsia="es-ES"/>
        </w:rPr>
        <w:t>, Patricia</w:t>
      </w:r>
      <w:r w:rsidRPr="009A775F">
        <w:rPr>
          <w:rFonts w:ascii="Verdana" w:hAnsi="Verdana" w:cs="Verdana"/>
          <w:sz w:val="20"/>
          <w:szCs w:val="20"/>
          <w:lang w:val="es-ES" w:eastAsia="es-ES"/>
        </w:rPr>
        <w:t xml:space="preserve"> Pérez </w:t>
      </w:r>
      <w:proofErr w:type="spellStart"/>
      <w:r w:rsidRPr="009A775F">
        <w:rPr>
          <w:rFonts w:ascii="Verdana" w:hAnsi="Verdana" w:cs="Verdana"/>
          <w:sz w:val="20"/>
          <w:szCs w:val="20"/>
          <w:lang w:val="es-ES" w:eastAsia="es-ES"/>
        </w:rPr>
        <w:t>Melians</w:t>
      </w:r>
      <w:proofErr w:type="spellEnd"/>
      <w:r w:rsidR="00030188" w:rsidRPr="009A775F">
        <w:rPr>
          <w:rFonts w:ascii="Verdana" w:hAnsi="Verdana" w:cs="Verdana"/>
          <w:sz w:val="20"/>
          <w:szCs w:val="20"/>
          <w:vertAlign w:val="superscript"/>
          <w:lang w:val="es-MX" w:eastAsia="es-ES"/>
        </w:rPr>
        <w:t>5</w:t>
      </w:r>
    </w:p>
    <w:p w:rsidR="00D278AE" w:rsidRPr="009A775F" w:rsidRDefault="00D278AE" w:rsidP="00030188">
      <w:pPr>
        <w:spacing w:after="0" w:line="240" w:lineRule="auto"/>
        <w:jc w:val="both"/>
        <w:rPr>
          <w:rFonts w:ascii="Verdana" w:hAnsi="Verdana" w:cs="Verdana"/>
          <w:sz w:val="20"/>
          <w:szCs w:val="20"/>
          <w:vertAlign w:val="superscript"/>
          <w:lang w:val="es-MX" w:eastAsia="es-ES"/>
        </w:rPr>
      </w:pPr>
    </w:p>
    <w:p w:rsidR="00D278AE" w:rsidRPr="009A775F" w:rsidRDefault="00D278AE" w:rsidP="00030188">
      <w:pPr>
        <w:spacing w:after="0" w:line="240" w:lineRule="auto"/>
        <w:jc w:val="both"/>
        <w:rPr>
          <w:rFonts w:ascii="Verdana" w:hAnsi="Verdana" w:cs="Verdana"/>
          <w:sz w:val="20"/>
          <w:szCs w:val="20"/>
          <w:vertAlign w:val="superscript"/>
          <w:lang w:val="es-MX" w:eastAsia="es-ES"/>
        </w:rPr>
      </w:pPr>
    </w:p>
    <w:p w:rsidR="00D278AE" w:rsidRPr="009A775F" w:rsidRDefault="00D278AE" w:rsidP="00030188">
      <w:pPr>
        <w:spacing w:after="0" w:line="240" w:lineRule="auto"/>
        <w:jc w:val="both"/>
        <w:rPr>
          <w:rFonts w:ascii="Verdana" w:hAnsi="Verdana"/>
          <w:sz w:val="20"/>
          <w:szCs w:val="20"/>
          <w:lang w:val="es-ES"/>
        </w:rPr>
      </w:pPr>
    </w:p>
    <w:p w:rsidR="00D278AE" w:rsidRPr="009A775F" w:rsidRDefault="00030188" w:rsidP="00030188">
      <w:pPr>
        <w:spacing w:after="0" w:line="240" w:lineRule="auto"/>
        <w:jc w:val="both"/>
        <w:rPr>
          <w:rFonts w:ascii="Verdana" w:hAnsi="Verdana" w:cs="Verdana"/>
          <w:sz w:val="20"/>
          <w:szCs w:val="20"/>
          <w:lang w:val="es-MX" w:eastAsia="es-ES"/>
        </w:rPr>
      </w:pPr>
      <w:r w:rsidRPr="009A775F">
        <w:rPr>
          <w:rFonts w:ascii="Verdana" w:hAnsi="Verdana" w:cs="Verdana"/>
          <w:sz w:val="20"/>
          <w:szCs w:val="20"/>
          <w:vertAlign w:val="superscript"/>
          <w:lang w:val="es-MX" w:eastAsia="es-ES"/>
        </w:rPr>
        <w:t>1</w:t>
      </w:r>
      <w:r w:rsidRPr="009A775F">
        <w:rPr>
          <w:rFonts w:ascii="Verdana" w:hAnsi="Verdana" w:cs="Verdana"/>
          <w:sz w:val="20"/>
          <w:szCs w:val="20"/>
          <w:lang w:val="es-ES" w:eastAsia="es-ES"/>
        </w:rPr>
        <w:t xml:space="preserve">Especialista de </w:t>
      </w:r>
      <w:r w:rsidRPr="009A775F">
        <w:rPr>
          <w:rFonts w:ascii="Verdana" w:hAnsi="Verdana" w:cs="Verdana"/>
          <w:sz w:val="20"/>
          <w:szCs w:val="20"/>
          <w:lang w:val="es-MX" w:eastAsia="es-ES"/>
        </w:rPr>
        <w:t>P</w:t>
      </w:r>
      <w:proofErr w:type="spellStart"/>
      <w:r w:rsidR="00190FB9" w:rsidRPr="009A775F">
        <w:rPr>
          <w:rFonts w:ascii="Verdana" w:hAnsi="Verdana" w:cs="Verdana"/>
          <w:sz w:val="20"/>
          <w:szCs w:val="20"/>
          <w:lang w:val="es-ES" w:eastAsia="es-ES"/>
        </w:rPr>
        <w:t>rimer</w:t>
      </w:r>
      <w:proofErr w:type="spellEnd"/>
      <w:r w:rsidR="00190FB9" w:rsidRPr="009A775F">
        <w:rPr>
          <w:rFonts w:ascii="Verdana" w:hAnsi="Verdana" w:cs="Verdana"/>
          <w:sz w:val="20"/>
          <w:szCs w:val="20"/>
          <w:lang w:val="es-ES" w:eastAsia="es-ES"/>
        </w:rPr>
        <w:t xml:space="preserve"> </w:t>
      </w:r>
      <w:r w:rsidRPr="009A775F">
        <w:rPr>
          <w:rFonts w:ascii="Verdana" w:hAnsi="Verdana" w:cs="Verdana"/>
          <w:sz w:val="20"/>
          <w:szCs w:val="20"/>
          <w:lang w:val="es-MX" w:eastAsia="es-ES"/>
        </w:rPr>
        <w:t>G</w:t>
      </w:r>
      <w:proofErr w:type="spellStart"/>
      <w:r w:rsidR="00190FB9" w:rsidRPr="009A775F">
        <w:rPr>
          <w:rFonts w:ascii="Verdana" w:hAnsi="Verdana" w:cs="Verdana"/>
          <w:sz w:val="20"/>
          <w:szCs w:val="20"/>
          <w:lang w:val="es-ES" w:eastAsia="es-ES"/>
        </w:rPr>
        <w:t>rado</w:t>
      </w:r>
      <w:proofErr w:type="spellEnd"/>
      <w:r w:rsidR="00190FB9" w:rsidRPr="009A775F">
        <w:rPr>
          <w:rFonts w:ascii="Verdana" w:hAnsi="Verdana" w:cs="Verdana"/>
          <w:sz w:val="20"/>
          <w:szCs w:val="20"/>
          <w:lang w:val="es-ES" w:eastAsia="es-ES"/>
        </w:rPr>
        <w:t xml:space="preserve"> en MGI y Laboratorio Clínico. </w:t>
      </w:r>
      <w:r w:rsidR="00190FB9" w:rsidRPr="009A775F">
        <w:rPr>
          <w:rFonts w:ascii="Verdana" w:hAnsi="Verdana" w:cs="Verdana"/>
          <w:sz w:val="20"/>
          <w:szCs w:val="20"/>
          <w:lang w:val="es-MX" w:eastAsia="es-ES"/>
        </w:rPr>
        <w:t>Asistente</w:t>
      </w:r>
      <w:r w:rsidRPr="009A775F">
        <w:rPr>
          <w:rFonts w:ascii="Verdana" w:hAnsi="Verdana" w:cs="Verdana"/>
          <w:sz w:val="20"/>
          <w:szCs w:val="20"/>
          <w:lang w:val="es-MX" w:eastAsia="es-ES"/>
        </w:rPr>
        <w:t>.</w:t>
      </w:r>
    </w:p>
    <w:p w:rsidR="00190FB9" w:rsidRPr="009A775F" w:rsidRDefault="00D278AE" w:rsidP="00030188">
      <w:pPr>
        <w:spacing w:after="0" w:line="240" w:lineRule="auto"/>
        <w:jc w:val="both"/>
        <w:rPr>
          <w:rFonts w:ascii="Verdana" w:hAnsi="Verdana" w:cs="Verdana"/>
          <w:sz w:val="20"/>
          <w:szCs w:val="20"/>
          <w:lang w:val="es-MX" w:eastAsia="es-ES"/>
        </w:rPr>
      </w:pPr>
      <w:proofErr w:type="gramStart"/>
      <w:r w:rsidRPr="009A775F">
        <w:rPr>
          <w:rFonts w:ascii="Verdana" w:hAnsi="Verdana" w:cs="Verdana"/>
          <w:sz w:val="20"/>
          <w:szCs w:val="20"/>
          <w:lang w:val="es-MX" w:eastAsia="es-ES"/>
        </w:rPr>
        <w:t>correo</w:t>
      </w:r>
      <w:proofErr w:type="gramEnd"/>
      <w:r w:rsidRPr="009A775F">
        <w:rPr>
          <w:rFonts w:ascii="Verdana" w:hAnsi="Verdana" w:cs="Verdana"/>
          <w:sz w:val="20"/>
          <w:szCs w:val="20"/>
          <w:lang w:val="es-MX" w:eastAsia="es-ES"/>
        </w:rPr>
        <w:t xml:space="preserve"> electrónico :dianelysdiazp@princesa.pri.sld.cu</w:t>
      </w:r>
    </w:p>
    <w:p w:rsidR="00190FB9" w:rsidRPr="009A775F" w:rsidRDefault="00030188" w:rsidP="00030188">
      <w:pPr>
        <w:spacing w:after="0" w:line="240" w:lineRule="auto"/>
        <w:ind w:right="981"/>
        <w:jc w:val="both"/>
        <w:rPr>
          <w:rFonts w:ascii="Verdana" w:hAnsi="Verdana" w:cs="Verdana"/>
          <w:sz w:val="20"/>
          <w:szCs w:val="20"/>
          <w:lang w:val="es-MX" w:eastAsia="es-ES"/>
        </w:rPr>
      </w:pPr>
      <w:r w:rsidRPr="009A775F">
        <w:rPr>
          <w:rFonts w:ascii="Verdana" w:hAnsi="Verdana" w:cs="Verdana"/>
          <w:sz w:val="20"/>
          <w:szCs w:val="20"/>
          <w:vertAlign w:val="superscript"/>
          <w:lang w:val="es-MX" w:eastAsia="es-ES"/>
        </w:rPr>
        <w:t>2</w:t>
      </w:r>
      <w:r w:rsidR="00190FB9" w:rsidRPr="009A775F">
        <w:rPr>
          <w:rFonts w:ascii="Verdana" w:hAnsi="Verdana" w:cs="Verdana"/>
          <w:sz w:val="20"/>
          <w:szCs w:val="20"/>
          <w:lang w:val="es-MX" w:eastAsia="es-ES"/>
        </w:rPr>
        <w:t xml:space="preserve">MsC. Enfermedades Infecciosas. </w:t>
      </w:r>
      <w:r w:rsidR="00190FB9" w:rsidRPr="009A775F">
        <w:rPr>
          <w:rFonts w:ascii="Verdana" w:hAnsi="Verdana" w:cs="Verdana"/>
          <w:sz w:val="20"/>
          <w:szCs w:val="20"/>
          <w:lang w:val="es-ES" w:eastAsia="es-ES"/>
        </w:rPr>
        <w:t>Especialista de  Primer y Segundo Grado</w:t>
      </w:r>
      <w:r w:rsidRPr="009A775F">
        <w:rPr>
          <w:rFonts w:ascii="Verdana" w:hAnsi="Verdana" w:cs="Verdana"/>
          <w:sz w:val="20"/>
          <w:szCs w:val="20"/>
          <w:lang w:val="es-MX" w:eastAsia="es-ES"/>
        </w:rPr>
        <w:t>s</w:t>
      </w:r>
      <w:r w:rsidR="00190FB9" w:rsidRPr="009A775F">
        <w:rPr>
          <w:rFonts w:ascii="Verdana" w:hAnsi="Verdana" w:cs="Verdana"/>
          <w:sz w:val="20"/>
          <w:szCs w:val="20"/>
          <w:lang w:val="es-ES" w:eastAsia="es-ES"/>
        </w:rPr>
        <w:t xml:space="preserve"> de Hematología. Profesora Auxiliar. Investigador agregado</w:t>
      </w:r>
      <w:r w:rsidRPr="009A775F">
        <w:rPr>
          <w:rFonts w:ascii="Verdana" w:hAnsi="Verdana" w:cs="Verdana"/>
          <w:sz w:val="20"/>
          <w:szCs w:val="20"/>
          <w:lang w:val="es-MX" w:eastAsia="es-ES"/>
        </w:rPr>
        <w:t>.</w:t>
      </w:r>
    </w:p>
    <w:p w:rsidR="00190FB9" w:rsidRPr="009A775F" w:rsidRDefault="00030188" w:rsidP="00030188">
      <w:pPr>
        <w:spacing w:after="0" w:line="240" w:lineRule="auto"/>
        <w:ind w:right="981"/>
        <w:jc w:val="both"/>
        <w:rPr>
          <w:rFonts w:ascii="Verdana" w:hAnsi="Verdana" w:cs="Verdana"/>
          <w:sz w:val="20"/>
          <w:szCs w:val="20"/>
          <w:lang w:val="es-MX" w:eastAsia="es-ES"/>
        </w:rPr>
      </w:pPr>
      <w:r w:rsidRPr="009A775F">
        <w:rPr>
          <w:rFonts w:ascii="Verdana" w:hAnsi="Verdana" w:cs="Verdana"/>
          <w:sz w:val="20"/>
          <w:szCs w:val="20"/>
          <w:vertAlign w:val="superscript"/>
          <w:lang w:val="es-MX" w:eastAsia="es-ES"/>
        </w:rPr>
        <w:t>3</w:t>
      </w:r>
      <w:r w:rsidR="001644AC" w:rsidRPr="009A775F">
        <w:rPr>
          <w:rFonts w:ascii="Verdana" w:hAnsi="Verdana" w:cs="Verdana"/>
          <w:sz w:val="20"/>
          <w:szCs w:val="20"/>
          <w:lang w:val="es-ES" w:eastAsia="es-ES"/>
        </w:rPr>
        <w:t xml:space="preserve">Especialista de </w:t>
      </w:r>
      <w:r w:rsidR="001644AC" w:rsidRPr="009A775F">
        <w:rPr>
          <w:rFonts w:ascii="Verdana" w:hAnsi="Verdana" w:cs="Verdana"/>
          <w:sz w:val="20"/>
          <w:szCs w:val="20"/>
          <w:lang w:val="es-MX" w:eastAsia="es-ES"/>
        </w:rPr>
        <w:t>P</w:t>
      </w:r>
      <w:proofErr w:type="spellStart"/>
      <w:r w:rsidRPr="009A775F">
        <w:rPr>
          <w:rFonts w:ascii="Verdana" w:hAnsi="Verdana" w:cs="Verdana"/>
          <w:sz w:val="20"/>
          <w:szCs w:val="20"/>
          <w:lang w:val="es-ES" w:eastAsia="es-ES"/>
        </w:rPr>
        <w:t>rimer</w:t>
      </w:r>
      <w:proofErr w:type="spellEnd"/>
      <w:r w:rsidRPr="009A775F">
        <w:rPr>
          <w:rFonts w:ascii="Verdana" w:hAnsi="Verdana" w:cs="Verdana"/>
          <w:sz w:val="20"/>
          <w:szCs w:val="20"/>
          <w:lang w:val="es-ES" w:eastAsia="es-ES"/>
        </w:rPr>
        <w:t xml:space="preserve"> </w:t>
      </w:r>
      <w:r w:rsidRPr="009A775F">
        <w:rPr>
          <w:rFonts w:ascii="Verdana" w:hAnsi="Verdana" w:cs="Verdana"/>
          <w:sz w:val="20"/>
          <w:szCs w:val="20"/>
          <w:lang w:val="es-MX" w:eastAsia="es-ES"/>
        </w:rPr>
        <w:t>G</w:t>
      </w:r>
      <w:proofErr w:type="spellStart"/>
      <w:r w:rsidR="00190FB9" w:rsidRPr="009A775F">
        <w:rPr>
          <w:rFonts w:ascii="Verdana" w:hAnsi="Verdana" w:cs="Verdana"/>
          <w:sz w:val="20"/>
          <w:szCs w:val="20"/>
          <w:lang w:val="es-ES" w:eastAsia="es-ES"/>
        </w:rPr>
        <w:t>rado</w:t>
      </w:r>
      <w:proofErr w:type="spellEnd"/>
      <w:r w:rsidR="00190FB9" w:rsidRPr="009A775F">
        <w:rPr>
          <w:rFonts w:ascii="Verdana" w:hAnsi="Verdana" w:cs="Verdana"/>
          <w:sz w:val="20"/>
          <w:szCs w:val="20"/>
          <w:lang w:val="es-ES" w:eastAsia="es-ES"/>
        </w:rPr>
        <w:t xml:space="preserve"> en MGI y Laboratorio Clínico. Instructor</w:t>
      </w:r>
      <w:r w:rsidRPr="009A775F">
        <w:rPr>
          <w:rFonts w:ascii="Verdana" w:hAnsi="Verdana" w:cs="Verdana"/>
          <w:sz w:val="20"/>
          <w:szCs w:val="20"/>
          <w:lang w:val="es-MX" w:eastAsia="es-ES"/>
        </w:rPr>
        <w:t>.</w:t>
      </w:r>
    </w:p>
    <w:p w:rsidR="00190FB9" w:rsidRPr="009A775F" w:rsidRDefault="00030188" w:rsidP="00030188">
      <w:pPr>
        <w:spacing w:after="0" w:line="240" w:lineRule="auto"/>
        <w:jc w:val="both"/>
        <w:rPr>
          <w:rFonts w:ascii="Verdana" w:hAnsi="Verdana" w:cs="Arial"/>
          <w:sz w:val="20"/>
          <w:szCs w:val="20"/>
          <w:lang w:val="es-MX"/>
        </w:rPr>
      </w:pPr>
      <w:r w:rsidRPr="009A775F">
        <w:rPr>
          <w:rFonts w:ascii="Verdana" w:hAnsi="Verdana" w:cs="Arial"/>
          <w:sz w:val="20"/>
          <w:szCs w:val="20"/>
          <w:vertAlign w:val="superscript"/>
          <w:lang w:val="es-MX"/>
        </w:rPr>
        <w:t>4</w:t>
      </w:r>
      <w:r w:rsidR="00190FB9" w:rsidRPr="009A775F">
        <w:rPr>
          <w:rFonts w:ascii="Verdana" w:hAnsi="Verdana" w:cs="Verdana"/>
          <w:sz w:val="20"/>
          <w:szCs w:val="20"/>
          <w:lang w:val="es-ES" w:eastAsia="es-ES"/>
        </w:rPr>
        <w:t>Espe</w:t>
      </w:r>
      <w:r w:rsidR="001644AC" w:rsidRPr="009A775F">
        <w:rPr>
          <w:rFonts w:ascii="Verdana" w:hAnsi="Verdana" w:cs="Verdana"/>
          <w:sz w:val="20"/>
          <w:szCs w:val="20"/>
          <w:lang w:val="es-ES" w:eastAsia="es-ES"/>
        </w:rPr>
        <w:t xml:space="preserve">cialista de </w:t>
      </w:r>
      <w:r w:rsidR="001644AC" w:rsidRPr="009A775F">
        <w:rPr>
          <w:rFonts w:ascii="Verdana" w:hAnsi="Verdana" w:cs="Verdana"/>
          <w:sz w:val="20"/>
          <w:szCs w:val="20"/>
          <w:lang w:val="es-MX" w:eastAsia="es-ES"/>
        </w:rPr>
        <w:t>P</w:t>
      </w:r>
      <w:proofErr w:type="spellStart"/>
      <w:r w:rsidRPr="009A775F">
        <w:rPr>
          <w:rFonts w:ascii="Verdana" w:hAnsi="Verdana" w:cs="Verdana"/>
          <w:sz w:val="20"/>
          <w:szCs w:val="20"/>
          <w:lang w:val="es-ES" w:eastAsia="es-ES"/>
        </w:rPr>
        <w:t>rimer</w:t>
      </w:r>
      <w:proofErr w:type="spellEnd"/>
      <w:r w:rsidRPr="009A775F">
        <w:rPr>
          <w:rFonts w:ascii="Verdana" w:hAnsi="Verdana" w:cs="Verdana"/>
          <w:sz w:val="20"/>
          <w:szCs w:val="20"/>
          <w:lang w:val="es-ES" w:eastAsia="es-ES"/>
        </w:rPr>
        <w:t xml:space="preserve"> </w:t>
      </w:r>
      <w:r w:rsidRPr="009A775F">
        <w:rPr>
          <w:rFonts w:ascii="Verdana" w:hAnsi="Verdana" w:cs="Verdana"/>
          <w:sz w:val="20"/>
          <w:szCs w:val="20"/>
          <w:lang w:val="es-MX" w:eastAsia="es-ES"/>
        </w:rPr>
        <w:t>G</w:t>
      </w:r>
      <w:proofErr w:type="spellStart"/>
      <w:r w:rsidR="00190FB9" w:rsidRPr="009A775F">
        <w:rPr>
          <w:rFonts w:ascii="Verdana" w:hAnsi="Verdana" w:cs="Verdana"/>
          <w:sz w:val="20"/>
          <w:szCs w:val="20"/>
          <w:lang w:val="es-ES" w:eastAsia="es-ES"/>
        </w:rPr>
        <w:t>rado</w:t>
      </w:r>
      <w:proofErr w:type="spellEnd"/>
      <w:r w:rsidR="00190FB9" w:rsidRPr="009A775F">
        <w:rPr>
          <w:rFonts w:ascii="Verdana" w:hAnsi="Verdana" w:cs="Verdana"/>
          <w:sz w:val="20"/>
          <w:szCs w:val="20"/>
          <w:lang w:val="es-ES" w:eastAsia="es-ES"/>
        </w:rPr>
        <w:t xml:space="preserve"> en Laboratorio Clínico. </w:t>
      </w:r>
      <w:r w:rsidR="00190FB9" w:rsidRPr="009A775F">
        <w:rPr>
          <w:rFonts w:ascii="Verdana" w:hAnsi="Verdana" w:cs="Verdana"/>
          <w:sz w:val="20"/>
          <w:szCs w:val="20"/>
          <w:lang w:val="es-MX" w:eastAsia="es-ES"/>
        </w:rPr>
        <w:t>Instructor</w:t>
      </w:r>
      <w:r w:rsidRPr="009A775F">
        <w:rPr>
          <w:rFonts w:ascii="Verdana" w:hAnsi="Verdana" w:cs="Verdana"/>
          <w:sz w:val="20"/>
          <w:szCs w:val="20"/>
          <w:lang w:val="es-MX" w:eastAsia="es-ES"/>
        </w:rPr>
        <w:t>.</w:t>
      </w:r>
    </w:p>
    <w:p w:rsidR="00360753" w:rsidRPr="009A775F" w:rsidRDefault="00030188" w:rsidP="00030188">
      <w:pPr>
        <w:spacing w:after="0" w:line="240" w:lineRule="auto"/>
        <w:jc w:val="both"/>
        <w:rPr>
          <w:rFonts w:ascii="Verdana" w:hAnsi="Verdana" w:cs="Arial"/>
          <w:sz w:val="20"/>
          <w:szCs w:val="20"/>
          <w:lang w:val="es-MX"/>
        </w:rPr>
      </w:pPr>
      <w:r w:rsidRPr="009A775F">
        <w:rPr>
          <w:rFonts w:ascii="Verdana" w:hAnsi="Verdana" w:cs="Arial"/>
          <w:sz w:val="20"/>
          <w:szCs w:val="20"/>
          <w:vertAlign w:val="superscript"/>
          <w:lang w:val="es-MX"/>
        </w:rPr>
        <w:t>5</w:t>
      </w:r>
      <w:r w:rsidR="00190FB9" w:rsidRPr="009A775F">
        <w:rPr>
          <w:rFonts w:ascii="Verdana" w:hAnsi="Verdana" w:cs="Arial"/>
          <w:sz w:val="20"/>
          <w:szCs w:val="20"/>
          <w:lang w:val="es-MX"/>
        </w:rPr>
        <w:t>Estudiante de Medicina</w:t>
      </w:r>
      <w:r w:rsidR="004B70CF" w:rsidRPr="009A775F">
        <w:rPr>
          <w:rFonts w:ascii="Verdana" w:hAnsi="Verdana" w:cs="Arial"/>
          <w:sz w:val="20"/>
          <w:szCs w:val="20"/>
          <w:lang w:val="es-MX"/>
        </w:rPr>
        <w:t>.</w:t>
      </w:r>
    </w:p>
    <w:p w:rsidR="008C686E" w:rsidRPr="009A775F" w:rsidRDefault="008C686E"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bookmarkStart w:id="0" w:name="_GoBack"/>
      <w:bookmarkEnd w:id="0"/>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030188" w:rsidRPr="009A775F" w:rsidRDefault="00030188" w:rsidP="00030188">
      <w:pPr>
        <w:spacing w:after="0" w:line="240" w:lineRule="auto"/>
        <w:jc w:val="both"/>
        <w:rPr>
          <w:rFonts w:ascii="Verdana" w:hAnsi="Verdana"/>
          <w:sz w:val="20"/>
          <w:szCs w:val="20"/>
          <w:lang w:val="es-ES"/>
        </w:rPr>
      </w:pPr>
    </w:p>
    <w:p w:rsidR="00D278AE" w:rsidRPr="009A775F" w:rsidRDefault="00D278AE" w:rsidP="00D278AE">
      <w:pPr>
        <w:spacing w:after="0" w:line="240" w:lineRule="auto"/>
        <w:jc w:val="both"/>
        <w:rPr>
          <w:rFonts w:ascii="Verdana" w:hAnsi="Verdana"/>
          <w:b/>
          <w:sz w:val="20"/>
          <w:szCs w:val="20"/>
          <w:lang w:val="es-MX"/>
        </w:rPr>
      </w:pPr>
      <w:r w:rsidRPr="009A775F">
        <w:rPr>
          <w:rFonts w:ascii="Verdana" w:hAnsi="Verdana"/>
          <w:b/>
          <w:sz w:val="20"/>
          <w:szCs w:val="20"/>
          <w:lang w:val="es-MX"/>
        </w:rPr>
        <w:lastRenderedPageBreak/>
        <w:t>Resumen</w:t>
      </w:r>
    </w:p>
    <w:p w:rsidR="00D278AE" w:rsidRPr="009A775F" w:rsidRDefault="00D278AE" w:rsidP="00D278AE">
      <w:pPr>
        <w:spacing w:after="0" w:line="240" w:lineRule="auto"/>
        <w:jc w:val="both"/>
        <w:rPr>
          <w:rFonts w:ascii="Verdana" w:hAnsi="Verdana"/>
          <w:sz w:val="20"/>
          <w:szCs w:val="20"/>
          <w:lang w:val="es-MX"/>
        </w:rPr>
      </w:pPr>
    </w:p>
    <w:p w:rsidR="00D278AE" w:rsidRPr="009A775F" w:rsidRDefault="00D278AE" w:rsidP="00D278AE">
      <w:pPr>
        <w:spacing w:after="0" w:line="240" w:lineRule="auto"/>
        <w:jc w:val="both"/>
        <w:rPr>
          <w:rFonts w:ascii="Verdana" w:hAnsi="Verdana"/>
          <w:sz w:val="20"/>
          <w:szCs w:val="20"/>
          <w:lang w:val="es-MX"/>
        </w:rPr>
      </w:pPr>
    </w:p>
    <w:p w:rsidR="00D278AE" w:rsidRPr="009A775F" w:rsidRDefault="00D278AE" w:rsidP="00D278AE">
      <w:pPr>
        <w:spacing w:after="0" w:line="240" w:lineRule="auto"/>
        <w:jc w:val="both"/>
        <w:rPr>
          <w:rFonts w:ascii="Verdana" w:hAnsi="Verdana"/>
          <w:sz w:val="20"/>
          <w:szCs w:val="20"/>
          <w:lang w:val="es-MX"/>
        </w:rPr>
      </w:pPr>
      <w:r w:rsidRPr="009A775F">
        <w:rPr>
          <w:rFonts w:ascii="Verdana" w:hAnsi="Verdana"/>
          <w:sz w:val="20"/>
          <w:szCs w:val="20"/>
          <w:lang w:val="es-MX"/>
        </w:rPr>
        <w:t xml:space="preserve">Introducción. Las transfusiones sanguíneas pueden salvar o mantener una vida, sin embargo es un tratamiento transitorio y debe considerarse como un trasplante de tejido con vida corta y </w:t>
      </w:r>
      <w:proofErr w:type="spellStart"/>
      <w:r w:rsidRPr="009A775F">
        <w:rPr>
          <w:rFonts w:ascii="Verdana" w:hAnsi="Verdana"/>
          <w:sz w:val="20"/>
          <w:szCs w:val="20"/>
          <w:lang w:val="es-MX"/>
        </w:rPr>
        <w:t>autolimitada</w:t>
      </w:r>
      <w:proofErr w:type="spellEnd"/>
      <w:r w:rsidRPr="009A775F">
        <w:rPr>
          <w:rFonts w:ascii="Verdana" w:hAnsi="Verdana"/>
          <w:sz w:val="20"/>
          <w:szCs w:val="20"/>
          <w:lang w:val="es-MX"/>
        </w:rPr>
        <w:t>.</w:t>
      </w:r>
    </w:p>
    <w:p w:rsidR="00D278AE" w:rsidRPr="009A775F" w:rsidRDefault="00D278AE" w:rsidP="00D278AE">
      <w:pPr>
        <w:spacing w:after="0" w:line="240" w:lineRule="auto"/>
        <w:jc w:val="both"/>
        <w:rPr>
          <w:rFonts w:ascii="Verdana" w:hAnsi="Verdana"/>
          <w:sz w:val="20"/>
          <w:szCs w:val="20"/>
          <w:lang w:val="es-MX"/>
        </w:rPr>
      </w:pPr>
      <w:r w:rsidRPr="009A775F">
        <w:rPr>
          <w:rFonts w:ascii="Verdana" w:hAnsi="Verdana"/>
          <w:sz w:val="20"/>
          <w:szCs w:val="20"/>
          <w:lang w:val="es-MX"/>
        </w:rPr>
        <w:t xml:space="preserve">Objetivos. Valorar el uso de la indicación de la sangre y sus componentes en el Hospital Dr. “León Cuervo Rubio” en el contexto de una adecuada  </w:t>
      </w:r>
      <w:proofErr w:type="spellStart"/>
      <w:r w:rsidRPr="009A775F">
        <w:rPr>
          <w:rFonts w:ascii="Verdana" w:hAnsi="Verdana"/>
          <w:sz w:val="20"/>
          <w:szCs w:val="20"/>
          <w:lang w:val="es-MX"/>
        </w:rPr>
        <w:t>hemovigilancia</w:t>
      </w:r>
      <w:proofErr w:type="spellEnd"/>
      <w:r w:rsidRPr="009A775F">
        <w:rPr>
          <w:rFonts w:ascii="Verdana" w:hAnsi="Verdana"/>
          <w:sz w:val="20"/>
          <w:szCs w:val="20"/>
          <w:lang w:val="es-MX"/>
        </w:rPr>
        <w:t>.</w:t>
      </w:r>
    </w:p>
    <w:p w:rsidR="00D278AE" w:rsidRPr="009A775F" w:rsidRDefault="00D278AE" w:rsidP="00D278AE">
      <w:pPr>
        <w:spacing w:after="0" w:line="240" w:lineRule="auto"/>
        <w:jc w:val="both"/>
        <w:rPr>
          <w:rFonts w:ascii="Verdana" w:hAnsi="Verdana"/>
          <w:sz w:val="20"/>
          <w:szCs w:val="20"/>
          <w:lang w:val="es-MX"/>
        </w:rPr>
      </w:pPr>
      <w:r w:rsidRPr="009A775F">
        <w:rPr>
          <w:rFonts w:ascii="Verdana" w:hAnsi="Verdana"/>
          <w:sz w:val="20"/>
          <w:szCs w:val="20"/>
          <w:lang w:val="es-MX"/>
        </w:rPr>
        <w:t>Material y Método. Se realizó un estudio descriptivo, transversal y retrospectivo en el donde se revisaron la solicitudes de transfusión por servicios,  los Informes mensuales del Comité Transfusional Hospitalario y el registro  de reacciones adversas transfusionales por componentes en  cada uno de los servicios durante el año 2015.</w:t>
      </w:r>
    </w:p>
    <w:p w:rsidR="00D278AE" w:rsidRPr="009A775F" w:rsidRDefault="00D278AE" w:rsidP="00D278AE">
      <w:pPr>
        <w:spacing w:after="0" w:line="240" w:lineRule="auto"/>
        <w:jc w:val="both"/>
        <w:rPr>
          <w:rFonts w:ascii="Verdana" w:hAnsi="Verdana" w:cs="Arial"/>
          <w:sz w:val="20"/>
          <w:szCs w:val="20"/>
          <w:lang w:val="es-MX"/>
        </w:rPr>
      </w:pPr>
      <w:r w:rsidRPr="009A775F">
        <w:rPr>
          <w:rFonts w:ascii="Verdana" w:hAnsi="Verdana"/>
          <w:sz w:val="20"/>
          <w:szCs w:val="20"/>
          <w:lang w:val="es-MX"/>
        </w:rPr>
        <w:t>Resultados. En el año 2015 hubo un decrecimiento del número de pacientes transfundidos con respecto al 2014 a pesar de haber mayor número de ingresos.</w:t>
      </w:r>
      <w:r w:rsidRPr="009A775F">
        <w:rPr>
          <w:rFonts w:ascii="Verdana" w:hAnsi="Verdana" w:cs="Arial"/>
          <w:sz w:val="20"/>
          <w:szCs w:val="20"/>
          <w:lang w:val="es-MX"/>
        </w:rPr>
        <w:t xml:space="preserve"> El 68,3 % de los pacientes transfundidos pertenecían a la tercera edad y dentro de ellos los correspondientes al  grupo </w:t>
      </w:r>
      <w:proofErr w:type="spellStart"/>
      <w:r w:rsidRPr="009A775F">
        <w:rPr>
          <w:rFonts w:ascii="Verdana" w:hAnsi="Verdana" w:cs="Arial"/>
          <w:sz w:val="20"/>
          <w:szCs w:val="20"/>
          <w:lang w:val="es-MX"/>
        </w:rPr>
        <w:t>etareo</w:t>
      </w:r>
      <w:proofErr w:type="spellEnd"/>
      <w:r w:rsidRPr="009A775F">
        <w:rPr>
          <w:rFonts w:ascii="Verdana" w:hAnsi="Verdana" w:cs="Arial"/>
          <w:sz w:val="20"/>
          <w:szCs w:val="20"/>
          <w:lang w:val="es-MX"/>
        </w:rPr>
        <w:t xml:space="preserve"> de 61-70 años. El concentrado de eritrocitos fue el componente más usado y el servicio de Medicina Interna el que más pacientes transfundidos tuvo. La  notificación de reacciones adversas fue superior en 2015 y fue la febril no hemolítica la más frecuente.</w:t>
      </w: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hAnsi="Verdana" w:cs="Arial"/>
          <w:sz w:val="20"/>
          <w:szCs w:val="20"/>
          <w:lang w:val="es-MX"/>
        </w:rPr>
        <w:t>Conclusiones.</w:t>
      </w:r>
      <w:r w:rsidRPr="009A775F">
        <w:rPr>
          <w:rFonts w:ascii="Verdana" w:eastAsia="Times New Roman" w:hAnsi="Verdana" w:cs="Times New Roman"/>
          <w:sz w:val="20"/>
          <w:szCs w:val="20"/>
          <w:lang w:val="es-MX" w:eastAsia="es-PR"/>
        </w:rPr>
        <w:t xml:space="preserve"> Se deben encaminar los esfuerzos en el uso adecuado de los componentes sanguíneos, valorando la tendencia actual a la senectud y las enfermedades </w:t>
      </w:r>
      <w:proofErr w:type="spellStart"/>
      <w:r w:rsidRPr="009A775F">
        <w:rPr>
          <w:rFonts w:ascii="Verdana" w:eastAsia="Times New Roman" w:hAnsi="Verdana" w:cs="Times New Roman"/>
          <w:sz w:val="20"/>
          <w:szCs w:val="20"/>
          <w:lang w:val="es-MX" w:eastAsia="es-PR"/>
        </w:rPr>
        <w:t>oncohematológicas</w:t>
      </w:r>
      <w:proofErr w:type="spellEnd"/>
      <w:r w:rsidRPr="009A775F">
        <w:rPr>
          <w:rFonts w:ascii="Verdana" w:eastAsia="Times New Roman" w:hAnsi="Verdana" w:cs="Times New Roman"/>
          <w:sz w:val="20"/>
          <w:szCs w:val="20"/>
          <w:lang w:val="es-MX" w:eastAsia="es-PR"/>
        </w:rPr>
        <w:t xml:space="preserve"> .Evaluar los riesgos y beneficios de la transfusión contando con un sistema  de  </w:t>
      </w:r>
      <w:proofErr w:type="spellStart"/>
      <w:r w:rsidRPr="009A775F">
        <w:rPr>
          <w:rFonts w:ascii="Verdana" w:eastAsia="Times New Roman" w:hAnsi="Verdana" w:cs="Times New Roman"/>
          <w:sz w:val="20"/>
          <w:szCs w:val="20"/>
          <w:lang w:val="es-MX" w:eastAsia="es-PR"/>
        </w:rPr>
        <w:t>Hemovigilancia</w:t>
      </w:r>
      <w:proofErr w:type="spellEnd"/>
      <w:r w:rsidRPr="009A775F">
        <w:rPr>
          <w:rFonts w:ascii="Verdana" w:eastAsia="Times New Roman" w:hAnsi="Verdana" w:cs="Times New Roman"/>
          <w:sz w:val="20"/>
          <w:szCs w:val="20"/>
          <w:lang w:val="es-MX" w:eastAsia="es-PR"/>
        </w:rPr>
        <w:t xml:space="preserve"> Hospitalaria estricto  capaz de realizar el seguimiento y reporte de las Reacciones Adversas.</w:t>
      </w:r>
    </w:p>
    <w:p w:rsidR="00D278AE" w:rsidRPr="009A775F" w:rsidRDefault="00D278AE" w:rsidP="00D278AE">
      <w:pPr>
        <w:spacing w:after="0" w:line="240" w:lineRule="auto"/>
        <w:jc w:val="both"/>
        <w:rPr>
          <w:rFonts w:ascii="Verdana" w:hAnsi="Verdana"/>
          <w:sz w:val="20"/>
          <w:szCs w:val="20"/>
          <w:lang w:val="es-MX"/>
        </w:rPr>
      </w:pPr>
    </w:p>
    <w:p w:rsidR="00D278AE" w:rsidRPr="009A775F" w:rsidRDefault="00D278AE" w:rsidP="00D278AE">
      <w:pPr>
        <w:spacing w:after="0" w:line="240" w:lineRule="auto"/>
        <w:jc w:val="both"/>
        <w:rPr>
          <w:rFonts w:ascii="Verdana" w:hAnsi="Verdana"/>
          <w:sz w:val="20"/>
          <w:szCs w:val="20"/>
          <w:lang w:val="es-MX"/>
        </w:rPr>
      </w:pPr>
    </w:p>
    <w:p w:rsidR="00D278AE" w:rsidRPr="009A775F" w:rsidRDefault="00D278AE" w:rsidP="00D278AE">
      <w:pPr>
        <w:spacing w:after="0" w:line="240" w:lineRule="auto"/>
        <w:jc w:val="both"/>
        <w:rPr>
          <w:rFonts w:ascii="Verdana" w:hAnsi="Verdana"/>
          <w:b/>
          <w:sz w:val="20"/>
          <w:szCs w:val="20"/>
          <w:u w:val="single"/>
          <w:lang w:val="es-MX"/>
        </w:rPr>
      </w:pPr>
      <w:r w:rsidRPr="009A775F">
        <w:rPr>
          <w:rFonts w:ascii="Verdana" w:hAnsi="Verdana"/>
          <w:b/>
          <w:sz w:val="20"/>
          <w:szCs w:val="20"/>
          <w:u w:val="single"/>
          <w:lang w:val="es-MX"/>
        </w:rPr>
        <w:t>Palabras clave:</w:t>
      </w:r>
    </w:p>
    <w:p w:rsidR="00D278AE" w:rsidRPr="009A775F" w:rsidRDefault="00D278AE" w:rsidP="00D278AE">
      <w:pPr>
        <w:spacing w:after="0" w:line="240" w:lineRule="auto"/>
        <w:jc w:val="both"/>
        <w:rPr>
          <w:rFonts w:ascii="Verdana" w:hAnsi="Verdana"/>
          <w:sz w:val="20"/>
          <w:szCs w:val="20"/>
          <w:lang w:val="es-MX"/>
        </w:rPr>
      </w:pPr>
    </w:p>
    <w:p w:rsidR="00D278AE" w:rsidRPr="009A775F" w:rsidRDefault="00D278AE" w:rsidP="00D278AE">
      <w:pPr>
        <w:spacing w:after="0" w:line="240" w:lineRule="auto"/>
        <w:jc w:val="both"/>
        <w:rPr>
          <w:rFonts w:ascii="Verdana" w:hAnsi="Verdana"/>
          <w:b/>
          <w:bCs/>
          <w:color w:val="000000"/>
          <w:sz w:val="20"/>
          <w:szCs w:val="20"/>
          <w:lang w:val="es-MX"/>
        </w:rPr>
      </w:pPr>
      <w:r w:rsidRPr="009A775F">
        <w:rPr>
          <w:rFonts w:ascii="Verdana" w:hAnsi="Verdana"/>
          <w:b/>
          <w:bCs/>
          <w:color w:val="000000"/>
          <w:sz w:val="20"/>
          <w:szCs w:val="20"/>
          <w:lang w:val="es-MX"/>
        </w:rPr>
        <w:t>SANGRE/</w:t>
      </w:r>
      <w:hyperlink r:id="rId9" w:history="1">
        <w:r w:rsidRPr="009A775F">
          <w:rPr>
            <w:rStyle w:val="Hipervnculo"/>
            <w:rFonts w:ascii="Verdana" w:hAnsi="Verdana"/>
            <w:sz w:val="20"/>
            <w:szCs w:val="20"/>
            <w:lang w:val="es-MX"/>
          </w:rPr>
          <w:t>Análisis Químico de la Sangre</w:t>
        </w:r>
      </w:hyperlink>
      <w:r w:rsidRPr="009A775F">
        <w:rPr>
          <w:rFonts w:ascii="Verdana" w:hAnsi="Verdana"/>
          <w:b/>
          <w:bCs/>
          <w:color w:val="000000"/>
          <w:sz w:val="20"/>
          <w:szCs w:val="20"/>
          <w:lang w:val="es-MX"/>
        </w:rPr>
        <w:t xml:space="preserve">     </w:t>
      </w:r>
    </w:p>
    <w:p w:rsidR="00D278AE" w:rsidRPr="009A775F" w:rsidRDefault="00D278AE" w:rsidP="00D278AE">
      <w:pPr>
        <w:spacing w:after="0" w:line="240" w:lineRule="auto"/>
        <w:jc w:val="both"/>
        <w:rPr>
          <w:rFonts w:ascii="Verdana" w:hAnsi="Verdana"/>
          <w:b/>
          <w:bCs/>
          <w:color w:val="000000"/>
          <w:sz w:val="20"/>
          <w:szCs w:val="20"/>
          <w:lang w:val="es-MX"/>
        </w:rPr>
      </w:pPr>
      <w:r w:rsidRPr="009A775F">
        <w:rPr>
          <w:rFonts w:ascii="Verdana" w:hAnsi="Verdana"/>
          <w:b/>
          <w:bCs/>
          <w:color w:val="000000"/>
          <w:sz w:val="20"/>
          <w:szCs w:val="20"/>
          <w:lang w:val="es-MX"/>
        </w:rPr>
        <w:t>BLOOD</w:t>
      </w:r>
    </w:p>
    <w:p w:rsidR="00D278AE" w:rsidRPr="009A775F" w:rsidRDefault="00D278AE" w:rsidP="00D278AE">
      <w:pPr>
        <w:spacing w:after="0" w:line="240" w:lineRule="auto"/>
        <w:jc w:val="both"/>
        <w:rPr>
          <w:rFonts w:ascii="Verdana" w:hAnsi="Verdana"/>
          <w:b/>
          <w:bCs/>
          <w:color w:val="000000"/>
          <w:sz w:val="20"/>
          <w:szCs w:val="20"/>
          <w:lang w:val="es-MX"/>
        </w:rPr>
      </w:pPr>
    </w:p>
    <w:p w:rsidR="00D278AE" w:rsidRPr="009A775F" w:rsidRDefault="00D278AE" w:rsidP="00D278AE">
      <w:pPr>
        <w:spacing w:after="0" w:line="240" w:lineRule="auto"/>
        <w:jc w:val="both"/>
        <w:rPr>
          <w:rFonts w:ascii="Verdana" w:hAnsi="Verdana"/>
          <w:b/>
          <w:bCs/>
          <w:color w:val="000000"/>
          <w:sz w:val="20"/>
          <w:szCs w:val="20"/>
          <w:lang w:val="es-MX"/>
        </w:rPr>
      </w:pPr>
      <w:r w:rsidRPr="009A775F">
        <w:rPr>
          <w:rFonts w:ascii="Verdana" w:hAnsi="Verdana"/>
          <w:b/>
          <w:bCs/>
          <w:color w:val="000000"/>
          <w:sz w:val="20"/>
          <w:szCs w:val="20"/>
          <w:lang w:val="es-MX"/>
        </w:rPr>
        <w:t xml:space="preserve">SEGURIDAD DE LA SANGRE/ </w:t>
      </w:r>
      <w:hyperlink r:id="rId10" w:history="1">
        <w:r w:rsidRPr="009A775F">
          <w:rPr>
            <w:rStyle w:val="Hipervnculo"/>
            <w:rFonts w:ascii="Verdana" w:hAnsi="Verdana"/>
            <w:sz w:val="20"/>
            <w:szCs w:val="20"/>
            <w:lang w:val="es-MX"/>
          </w:rPr>
          <w:t>métodos</w:t>
        </w:r>
      </w:hyperlink>
      <w:r w:rsidRPr="009A775F">
        <w:rPr>
          <w:rFonts w:ascii="Verdana" w:hAnsi="Verdana"/>
          <w:sz w:val="20"/>
          <w:szCs w:val="20"/>
          <w:lang w:val="es-MX"/>
        </w:rPr>
        <w:t xml:space="preserve">/ </w:t>
      </w:r>
      <w:hyperlink r:id="rId11" w:history="1">
        <w:r w:rsidRPr="009A775F">
          <w:rPr>
            <w:rStyle w:val="Hipervnculo"/>
            <w:rFonts w:ascii="Verdana" w:hAnsi="Verdana"/>
            <w:sz w:val="20"/>
            <w:szCs w:val="20"/>
            <w:lang w:val="es-MX"/>
          </w:rPr>
          <w:t>normas</w:t>
        </w:r>
      </w:hyperlink>
      <w:r w:rsidRPr="009A775F">
        <w:rPr>
          <w:rFonts w:ascii="Verdana" w:hAnsi="Verdana"/>
          <w:sz w:val="20"/>
          <w:szCs w:val="20"/>
          <w:lang w:val="es-MX"/>
        </w:rPr>
        <w:t xml:space="preserve"> </w:t>
      </w:r>
    </w:p>
    <w:p w:rsidR="00D278AE" w:rsidRPr="009A775F" w:rsidRDefault="00D278AE" w:rsidP="00D278AE">
      <w:pPr>
        <w:spacing w:after="0" w:line="240" w:lineRule="auto"/>
        <w:jc w:val="both"/>
        <w:rPr>
          <w:rFonts w:ascii="Verdana" w:hAnsi="Verdana"/>
          <w:b/>
          <w:bCs/>
          <w:color w:val="000000"/>
          <w:sz w:val="20"/>
          <w:szCs w:val="20"/>
        </w:rPr>
      </w:pPr>
      <w:r w:rsidRPr="009A775F">
        <w:rPr>
          <w:rFonts w:ascii="Verdana" w:hAnsi="Verdana"/>
          <w:b/>
          <w:bCs/>
          <w:color w:val="000000"/>
          <w:sz w:val="20"/>
          <w:szCs w:val="20"/>
        </w:rPr>
        <w:t>BLOOD SAFETY</w:t>
      </w:r>
    </w:p>
    <w:p w:rsidR="00D278AE" w:rsidRPr="009A775F" w:rsidRDefault="00D278AE" w:rsidP="00D278AE">
      <w:pPr>
        <w:spacing w:after="0" w:line="240" w:lineRule="auto"/>
        <w:jc w:val="both"/>
        <w:rPr>
          <w:rFonts w:ascii="Verdana" w:hAnsi="Verdana"/>
          <w:b/>
          <w:bCs/>
          <w:color w:val="000000"/>
          <w:sz w:val="20"/>
          <w:szCs w:val="20"/>
        </w:rPr>
      </w:pPr>
    </w:p>
    <w:p w:rsidR="00D278AE" w:rsidRPr="009A775F" w:rsidRDefault="00D278AE" w:rsidP="00D278AE">
      <w:pPr>
        <w:spacing w:after="0" w:line="240" w:lineRule="auto"/>
        <w:jc w:val="both"/>
        <w:rPr>
          <w:rFonts w:ascii="Verdana" w:hAnsi="Verdana"/>
          <w:b/>
          <w:bCs/>
          <w:color w:val="000000"/>
          <w:sz w:val="20"/>
          <w:szCs w:val="20"/>
        </w:rPr>
      </w:pPr>
      <w:r w:rsidRPr="009A775F">
        <w:rPr>
          <w:rFonts w:ascii="Verdana" w:hAnsi="Verdana"/>
          <w:b/>
          <w:bCs/>
          <w:color w:val="000000"/>
          <w:sz w:val="20"/>
          <w:szCs w:val="20"/>
        </w:rPr>
        <w:t xml:space="preserve">TERAPIA COMBINADA                            </w:t>
      </w:r>
    </w:p>
    <w:p w:rsidR="00D278AE" w:rsidRPr="009A775F" w:rsidRDefault="00D278AE" w:rsidP="00D278AE">
      <w:pPr>
        <w:spacing w:after="0" w:line="240" w:lineRule="auto"/>
        <w:jc w:val="both"/>
        <w:rPr>
          <w:rFonts w:ascii="Verdana" w:hAnsi="Verdana"/>
          <w:b/>
          <w:bCs/>
          <w:color w:val="000000"/>
          <w:sz w:val="20"/>
          <w:szCs w:val="20"/>
        </w:rPr>
      </w:pPr>
      <w:r w:rsidRPr="009A775F">
        <w:rPr>
          <w:rFonts w:ascii="Verdana" w:hAnsi="Verdana"/>
          <w:b/>
          <w:bCs/>
          <w:color w:val="000000"/>
          <w:sz w:val="20"/>
          <w:szCs w:val="20"/>
        </w:rPr>
        <w:t xml:space="preserve">COMBINED MODALITY THERAPY </w:t>
      </w:r>
    </w:p>
    <w:p w:rsidR="00D278AE" w:rsidRPr="009A775F" w:rsidRDefault="00D278AE" w:rsidP="00D278AE">
      <w:pPr>
        <w:spacing w:after="0" w:line="240" w:lineRule="auto"/>
        <w:jc w:val="both"/>
        <w:rPr>
          <w:rFonts w:ascii="Verdana" w:hAnsi="Verdana"/>
          <w:b/>
          <w:bCs/>
          <w:color w:val="000000"/>
          <w:sz w:val="20"/>
          <w:szCs w:val="20"/>
        </w:rPr>
      </w:pPr>
    </w:p>
    <w:p w:rsidR="00D278AE" w:rsidRPr="009A775F" w:rsidRDefault="00D278AE" w:rsidP="00D278AE">
      <w:pPr>
        <w:spacing w:after="0" w:line="240" w:lineRule="auto"/>
        <w:jc w:val="both"/>
        <w:rPr>
          <w:rFonts w:ascii="Verdana" w:hAnsi="Verdana"/>
          <w:b/>
          <w:bCs/>
          <w:color w:val="000000"/>
          <w:sz w:val="20"/>
          <w:szCs w:val="20"/>
          <w:lang w:val="es-MX"/>
        </w:rPr>
      </w:pPr>
      <w:r w:rsidRPr="009A775F">
        <w:rPr>
          <w:rFonts w:ascii="Verdana" w:hAnsi="Verdana"/>
          <w:b/>
          <w:bCs/>
          <w:color w:val="000000"/>
          <w:sz w:val="20"/>
          <w:szCs w:val="20"/>
          <w:lang w:val="es-MX"/>
        </w:rPr>
        <w:t xml:space="preserve">TRANSFUSIÓN SANGUÍNEA/ </w:t>
      </w:r>
      <w:hyperlink r:id="rId12" w:history="1">
        <w:r w:rsidRPr="009A775F">
          <w:rPr>
            <w:rStyle w:val="Hipervnculo"/>
            <w:rFonts w:ascii="Verdana" w:hAnsi="Verdana"/>
            <w:sz w:val="20"/>
            <w:szCs w:val="20"/>
            <w:lang w:val="es-MX"/>
          </w:rPr>
          <w:t>efectos adversos</w:t>
        </w:r>
      </w:hyperlink>
      <w:r w:rsidRPr="009A775F">
        <w:rPr>
          <w:rFonts w:ascii="Verdana" w:hAnsi="Verdana"/>
          <w:b/>
          <w:bCs/>
          <w:color w:val="000000"/>
          <w:sz w:val="20"/>
          <w:szCs w:val="20"/>
          <w:lang w:val="es-MX"/>
        </w:rPr>
        <w:t xml:space="preserve">                    </w:t>
      </w:r>
    </w:p>
    <w:p w:rsidR="00D278AE" w:rsidRPr="009A775F" w:rsidRDefault="00D278AE" w:rsidP="00D278AE">
      <w:pPr>
        <w:spacing w:after="0" w:line="240" w:lineRule="auto"/>
        <w:jc w:val="both"/>
        <w:rPr>
          <w:rFonts w:ascii="Verdana" w:hAnsi="Verdana"/>
          <w:sz w:val="20"/>
          <w:szCs w:val="20"/>
          <w:lang w:val="es-MX"/>
        </w:rPr>
      </w:pPr>
      <w:r w:rsidRPr="009A775F">
        <w:rPr>
          <w:rFonts w:ascii="Verdana" w:hAnsi="Verdana"/>
          <w:b/>
          <w:bCs/>
          <w:color w:val="000000"/>
          <w:sz w:val="20"/>
          <w:szCs w:val="20"/>
          <w:lang w:val="es-MX"/>
        </w:rPr>
        <w:t>BLOOD TRANSFUSION </w:t>
      </w:r>
    </w:p>
    <w:p w:rsidR="00D278AE" w:rsidRPr="009A775F" w:rsidRDefault="00D278AE" w:rsidP="00D278AE">
      <w:pPr>
        <w:spacing w:after="0" w:line="240" w:lineRule="auto"/>
        <w:jc w:val="both"/>
        <w:rPr>
          <w:rFonts w:ascii="Verdana" w:hAnsi="Verdana"/>
          <w:b/>
          <w:bCs/>
          <w:color w:val="000000"/>
          <w:sz w:val="20"/>
          <w:szCs w:val="20"/>
          <w:lang w:val="es-MX"/>
        </w:rPr>
      </w:pPr>
    </w:p>
    <w:p w:rsidR="00D278AE" w:rsidRPr="009A775F" w:rsidRDefault="00D278AE" w:rsidP="00D278AE">
      <w:pPr>
        <w:spacing w:after="0" w:line="240" w:lineRule="auto"/>
        <w:jc w:val="both"/>
        <w:rPr>
          <w:rFonts w:ascii="Verdana" w:hAnsi="Verdana"/>
          <w:b/>
          <w:bCs/>
          <w:color w:val="000000"/>
          <w:sz w:val="20"/>
          <w:szCs w:val="20"/>
          <w:lang w:val="es-MX"/>
        </w:rPr>
      </w:pPr>
      <w:r w:rsidRPr="009A775F">
        <w:rPr>
          <w:rFonts w:ascii="Verdana" w:hAnsi="Verdana"/>
          <w:b/>
          <w:bCs/>
          <w:color w:val="000000"/>
          <w:sz w:val="20"/>
          <w:szCs w:val="20"/>
          <w:lang w:val="es-MX"/>
        </w:rPr>
        <w:t>TRANSFUSIÓN DE COMPONENTES SANGUÍNEOS</w:t>
      </w:r>
    </w:p>
    <w:p w:rsidR="00D278AE" w:rsidRPr="009A775F" w:rsidRDefault="00D278AE" w:rsidP="00D278AE">
      <w:pPr>
        <w:spacing w:after="0" w:line="240" w:lineRule="auto"/>
        <w:jc w:val="both"/>
        <w:rPr>
          <w:rFonts w:ascii="Verdana" w:hAnsi="Verdana"/>
          <w:sz w:val="20"/>
          <w:szCs w:val="20"/>
          <w:lang w:val="es-MX"/>
        </w:rPr>
      </w:pPr>
      <w:r w:rsidRPr="009A775F">
        <w:rPr>
          <w:rFonts w:ascii="Verdana" w:hAnsi="Verdana"/>
          <w:b/>
          <w:bCs/>
          <w:color w:val="000000"/>
          <w:sz w:val="20"/>
          <w:szCs w:val="20"/>
          <w:lang w:val="es-MX"/>
        </w:rPr>
        <w:t>BLOOD COMPONENT TRANSFUSION</w:t>
      </w:r>
    </w:p>
    <w:p w:rsidR="008A0529" w:rsidRPr="009A775F" w:rsidRDefault="008A0529" w:rsidP="00360753">
      <w:pPr>
        <w:spacing w:after="0" w:line="240" w:lineRule="auto"/>
        <w:jc w:val="both"/>
        <w:rPr>
          <w:rFonts w:ascii="Verdana" w:hAnsi="Verdana"/>
          <w:sz w:val="20"/>
          <w:szCs w:val="20"/>
          <w:lang w:val="es-MX"/>
        </w:rPr>
      </w:pPr>
    </w:p>
    <w:p w:rsidR="008A0529" w:rsidRPr="009A775F" w:rsidRDefault="008A0529" w:rsidP="00360753">
      <w:pPr>
        <w:spacing w:after="0" w:line="240" w:lineRule="auto"/>
        <w:jc w:val="both"/>
        <w:rPr>
          <w:rFonts w:ascii="Verdana" w:hAnsi="Verdana"/>
          <w:sz w:val="20"/>
          <w:szCs w:val="20"/>
          <w:lang w:val="es-ES"/>
        </w:rPr>
      </w:pPr>
    </w:p>
    <w:p w:rsidR="008A0529" w:rsidRPr="009A775F" w:rsidRDefault="008A0529" w:rsidP="00360753">
      <w:pPr>
        <w:spacing w:after="0" w:line="240" w:lineRule="auto"/>
        <w:jc w:val="both"/>
        <w:rPr>
          <w:rFonts w:ascii="Verdana" w:hAnsi="Verdana"/>
          <w:sz w:val="20"/>
          <w:szCs w:val="20"/>
          <w:lang w:val="es-ES"/>
        </w:rPr>
      </w:pPr>
    </w:p>
    <w:p w:rsidR="00360753" w:rsidRPr="009A775F" w:rsidRDefault="00360753" w:rsidP="00360753">
      <w:pPr>
        <w:spacing w:after="0" w:line="240" w:lineRule="auto"/>
        <w:jc w:val="both"/>
        <w:rPr>
          <w:rFonts w:ascii="Verdana" w:hAnsi="Verdana"/>
          <w:sz w:val="20"/>
          <w:szCs w:val="20"/>
          <w:lang w:val="es-ES"/>
        </w:rPr>
      </w:pPr>
    </w:p>
    <w:p w:rsidR="00360753" w:rsidRPr="009A775F" w:rsidRDefault="00360753" w:rsidP="00360753">
      <w:pPr>
        <w:spacing w:after="0" w:line="240" w:lineRule="auto"/>
        <w:jc w:val="both"/>
        <w:rPr>
          <w:rFonts w:ascii="Verdana" w:hAnsi="Verdana"/>
          <w:sz w:val="20"/>
          <w:szCs w:val="20"/>
          <w:lang w:val="es-ES"/>
        </w:rPr>
      </w:pPr>
    </w:p>
    <w:p w:rsidR="00360753" w:rsidRPr="009A775F" w:rsidRDefault="00360753" w:rsidP="00360753">
      <w:pPr>
        <w:spacing w:after="0" w:line="240" w:lineRule="auto"/>
        <w:jc w:val="both"/>
        <w:rPr>
          <w:rFonts w:ascii="Verdana" w:hAnsi="Verdana"/>
          <w:sz w:val="20"/>
          <w:szCs w:val="20"/>
          <w:lang w:val="es-ES"/>
        </w:rPr>
      </w:pPr>
    </w:p>
    <w:p w:rsidR="00360753" w:rsidRPr="009A775F" w:rsidRDefault="00360753" w:rsidP="00360753">
      <w:pPr>
        <w:spacing w:after="0" w:line="240" w:lineRule="auto"/>
        <w:jc w:val="both"/>
        <w:rPr>
          <w:rFonts w:ascii="Verdana" w:hAnsi="Verdana"/>
          <w:sz w:val="20"/>
          <w:szCs w:val="20"/>
          <w:lang w:val="es-ES"/>
        </w:rPr>
      </w:pPr>
    </w:p>
    <w:p w:rsidR="00D278AE" w:rsidRPr="009A775F" w:rsidRDefault="00D278AE" w:rsidP="00360753">
      <w:pPr>
        <w:spacing w:after="0" w:line="240" w:lineRule="auto"/>
        <w:jc w:val="both"/>
        <w:rPr>
          <w:rFonts w:ascii="Verdana" w:hAnsi="Verdana"/>
          <w:sz w:val="20"/>
          <w:szCs w:val="20"/>
          <w:lang w:val="es-ES"/>
        </w:rPr>
      </w:pPr>
    </w:p>
    <w:p w:rsidR="003E6588" w:rsidRPr="009A775F" w:rsidRDefault="003E6588" w:rsidP="00360753">
      <w:pPr>
        <w:spacing w:after="0" w:line="240" w:lineRule="auto"/>
        <w:jc w:val="both"/>
        <w:rPr>
          <w:rFonts w:ascii="Verdana" w:hAnsi="Verdana"/>
          <w:sz w:val="20"/>
          <w:szCs w:val="20"/>
          <w:lang w:val="es-ES"/>
        </w:rPr>
      </w:pPr>
    </w:p>
    <w:p w:rsidR="003E6588" w:rsidRPr="009A775F" w:rsidRDefault="003E6588" w:rsidP="00360753">
      <w:pPr>
        <w:spacing w:after="0" w:line="240" w:lineRule="auto"/>
        <w:jc w:val="both"/>
        <w:rPr>
          <w:rFonts w:ascii="Verdana" w:hAnsi="Verdana"/>
          <w:sz w:val="20"/>
          <w:szCs w:val="20"/>
          <w:lang w:val="es-ES"/>
        </w:rPr>
      </w:pPr>
    </w:p>
    <w:p w:rsidR="003E6588" w:rsidRPr="009A775F" w:rsidRDefault="003E6588" w:rsidP="00360753">
      <w:pPr>
        <w:spacing w:after="0" w:line="240" w:lineRule="auto"/>
        <w:jc w:val="both"/>
        <w:rPr>
          <w:rFonts w:ascii="Verdana" w:hAnsi="Verdana"/>
          <w:sz w:val="20"/>
          <w:szCs w:val="20"/>
          <w:lang w:val="es-ES"/>
        </w:rPr>
      </w:pPr>
    </w:p>
    <w:p w:rsidR="003E6588" w:rsidRPr="009A775F" w:rsidRDefault="003E6588" w:rsidP="00360753">
      <w:pPr>
        <w:spacing w:after="0" w:line="240" w:lineRule="auto"/>
        <w:jc w:val="both"/>
        <w:rPr>
          <w:rFonts w:ascii="Verdana" w:hAnsi="Verdana"/>
          <w:sz w:val="20"/>
          <w:szCs w:val="20"/>
          <w:lang w:val="es-ES"/>
        </w:rPr>
      </w:pPr>
    </w:p>
    <w:p w:rsidR="00360753" w:rsidRPr="009A775F" w:rsidRDefault="00360753" w:rsidP="00360753">
      <w:pPr>
        <w:spacing w:after="0" w:line="240" w:lineRule="auto"/>
        <w:jc w:val="both"/>
        <w:rPr>
          <w:rFonts w:ascii="Verdana" w:hAnsi="Verdana"/>
          <w:b/>
          <w:sz w:val="20"/>
          <w:szCs w:val="20"/>
          <w:lang w:val="es-ES"/>
        </w:rPr>
      </w:pPr>
      <w:r w:rsidRPr="009A775F">
        <w:rPr>
          <w:rFonts w:ascii="Verdana" w:hAnsi="Verdana"/>
          <w:b/>
          <w:sz w:val="20"/>
          <w:szCs w:val="20"/>
          <w:lang w:val="es-ES"/>
        </w:rPr>
        <w:lastRenderedPageBreak/>
        <w:t>Introducción</w:t>
      </w:r>
    </w:p>
    <w:p w:rsidR="00B9435F" w:rsidRPr="009A775F" w:rsidRDefault="00046B05" w:rsidP="00B9435F">
      <w:pPr>
        <w:spacing w:after="0" w:line="240" w:lineRule="auto"/>
        <w:jc w:val="both"/>
        <w:rPr>
          <w:rFonts w:ascii="Verdana" w:hAnsi="Verdana"/>
          <w:sz w:val="20"/>
          <w:szCs w:val="20"/>
          <w:vertAlign w:val="superscript"/>
          <w:lang w:val="es-MX"/>
        </w:rPr>
      </w:pPr>
      <w:r w:rsidRPr="009A775F">
        <w:rPr>
          <w:rFonts w:ascii="Verdana" w:hAnsi="Verdana"/>
          <w:sz w:val="20"/>
          <w:szCs w:val="20"/>
          <w:lang w:val="es-ES"/>
        </w:rPr>
        <w:t xml:space="preserve">Las </w:t>
      </w:r>
      <w:r w:rsidR="00281E88" w:rsidRPr="009A775F">
        <w:rPr>
          <w:rFonts w:ascii="Verdana" w:hAnsi="Verdana"/>
          <w:sz w:val="20"/>
          <w:szCs w:val="20"/>
          <w:lang w:val="es-ES"/>
        </w:rPr>
        <w:t xml:space="preserve">transfusiones </w:t>
      </w:r>
      <w:r w:rsidR="00E25FF1" w:rsidRPr="009A775F">
        <w:rPr>
          <w:rFonts w:ascii="Verdana" w:hAnsi="Verdana"/>
          <w:sz w:val="20"/>
          <w:szCs w:val="20"/>
          <w:lang w:val="es-ES"/>
        </w:rPr>
        <w:t>sanguíneas</w:t>
      </w:r>
      <w:r w:rsidR="00281E88" w:rsidRPr="009A775F">
        <w:rPr>
          <w:rFonts w:ascii="Verdana" w:hAnsi="Verdana"/>
          <w:sz w:val="20"/>
          <w:szCs w:val="20"/>
          <w:lang w:val="es-ES"/>
        </w:rPr>
        <w:t xml:space="preserve"> pueden salvar o mantener una vida</w:t>
      </w:r>
      <w:r w:rsidR="005178A6" w:rsidRPr="009A775F">
        <w:rPr>
          <w:rFonts w:ascii="Verdana" w:hAnsi="Verdana"/>
          <w:sz w:val="20"/>
          <w:szCs w:val="20"/>
          <w:lang w:val="es-ES"/>
        </w:rPr>
        <w:t>, sin</w:t>
      </w:r>
      <w:r w:rsidR="00281E88" w:rsidRPr="009A775F">
        <w:rPr>
          <w:rFonts w:ascii="Verdana" w:hAnsi="Verdana"/>
          <w:sz w:val="20"/>
          <w:szCs w:val="20"/>
          <w:lang w:val="es-ES"/>
        </w:rPr>
        <w:t xml:space="preserve"> embargo es un tratamiento transitorio o no definitivo y debe considerarse como un </w:t>
      </w:r>
      <w:r w:rsidR="006543C2" w:rsidRPr="009A775F">
        <w:rPr>
          <w:rFonts w:ascii="Verdana" w:hAnsi="Verdana"/>
          <w:sz w:val="20"/>
          <w:szCs w:val="20"/>
          <w:lang w:val="es-ES"/>
        </w:rPr>
        <w:t>trasplante</w:t>
      </w:r>
      <w:r w:rsidR="00281E88" w:rsidRPr="009A775F">
        <w:rPr>
          <w:rFonts w:ascii="Verdana" w:hAnsi="Verdana"/>
          <w:sz w:val="20"/>
          <w:szCs w:val="20"/>
          <w:lang w:val="es-ES"/>
        </w:rPr>
        <w:t xml:space="preserve"> de tejido con vida corta y </w:t>
      </w:r>
      <w:proofErr w:type="spellStart"/>
      <w:r w:rsidR="00281E88" w:rsidRPr="009A775F">
        <w:rPr>
          <w:rFonts w:ascii="Verdana" w:hAnsi="Verdana"/>
          <w:sz w:val="20"/>
          <w:szCs w:val="20"/>
          <w:lang w:val="es-ES"/>
        </w:rPr>
        <w:t>autolimitada</w:t>
      </w:r>
      <w:proofErr w:type="spellEnd"/>
      <w:r w:rsidR="009F54D1" w:rsidRPr="009A775F">
        <w:rPr>
          <w:rFonts w:ascii="Verdana" w:hAnsi="Verdana"/>
          <w:sz w:val="20"/>
          <w:szCs w:val="20"/>
          <w:lang w:val="es-MX"/>
        </w:rPr>
        <w:t>.</w:t>
      </w:r>
      <w:r w:rsidR="004E2EF6" w:rsidRPr="009A775F">
        <w:rPr>
          <w:rFonts w:ascii="Verdana" w:hAnsi="Verdana"/>
          <w:sz w:val="20"/>
          <w:szCs w:val="20"/>
          <w:vertAlign w:val="superscript"/>
          <w:lang w:val="es-MX"/>
        </w:rPr>
        <w:t>1</w:t>
      </w:r>
      <w:r w:rsidR="009F54D1" w:rsidRPr="009A775F">
        <w:rPr>
          <w:rFonts w:ascii="Verdana" w:hAnsi="Verdana"/>
          <w:sz w:val="20"/>
          <w:szCs w:val="20"/>
          <w:vertAlign w:val="superscript"/>
          <w:lang w:val="es-MX"/>
        </w:rPr>
        <w:t xml:space="preserve"> </w:t>
      </w:r>
      <w:r w:rsidR="00281E88" w:rsidRPr="009A775F">
        <w:rPr>
          <w:rFonts w:ascii="Verdana" w:hAnsi="Verdana" w:cs="Arial"/>
          <w:sz w:val="20"/>
          <w:szCs w:val="20"/>
          <w:lang w:val="es-ES"/>
        </w:rPr>
        <w:t>Puede ser una intervención salvadora pero como todo tratamiento, puede resultar en complicaciones agudas o tardías</w:t>
      </w:r>
      <w:r w:rsidR="008A0529" w:rsidRPr="009A775F">
        <w:rPr>
          <w:rFonts w:ascii="Verdana" w:hAnsi="Verdana" w:cs="Arial"/>
          <w:sz w:val="20"/>
          <w:szCs w:val="20"/>
          <w:lang w:val="es-ES"/>
        </w:rPr>
        <w:t>.</w:t>
      </w:r>
      <w:r w:rsidR="008A0529" w:rsidRPr="009A775F">
        <w:rPr>
          <w:rFonts w:ascii="Verdana" w:hAnsi="Verdana"/>
          <w:sz w:val="20"/>
          <w:szCs w:val="20"/>
          <w:vertAlign w:val="superscript"/>
          <w:lang w:val="es-ES"/>
        </w:rPr>
        <w:t xml:space="preserve"> </w:t>
      </w:r>
      <w:r w:rsidR="003B3469" w:rsidRPr="009A775F">
        <w:rPr>
          <w:rFonts w:ascii="Verdana" w:hAnsi="Verdana"/>
          <w:sz w:val="20"/>
          <w:szCs w:val="20"/>
          <w:vertAlign w:val="superscript"/>
          <w:lang w:val="es-MX"/>
        </w:rPr>
        <w:t>2</w:t>
      </w:r>
    </w:p>
    <w:p w:rsidR="00FB00DC" w:rsidRPr="009A775F" w:rsidRDefault="00FB00DC" w:rsidP="00B9435F">
      <w:pPr>
        <w:spacing w:after="0" w:line="240" w:lineRule="auto"/>
        <w:jc w:val="both"/>
        <w:rPr>
          <w:rFonts w:ascii="Verdana" w:hAnsi="Verdana"/>
          <w:sz w:val="20"/>
          <w:szCs w:val="20"/>
          <w:lang w:val="es-ES"/>
        </w:rPr>
      </w:pPr>
    </w:p>
    <w:p w:rsidR="00FB00DC" w:rsidRPr="009A775F" w:rsidRDefault="00FB00DC" w:rsidP="00FB00DC">
      <w:pPr>
        <w:autoSpaceDE w:val="0"/>
        <w:autoSpaceDN w:val="0"/>
        <w:adjustRightInd w:val="0"/>
        <w:spacing w:after="0" w:line="240" w:lineRule="auto"/>
        <w:jc w:val="both"/>
        <w:rPr>
          <w:rFonts w:ascii="Verdana" w:hAnsi="Verdana" w:cs="Arial"/>
          <w:sz w:val="20"/>
          <w:szCs w:val="20"/>
          <w:lang w:val="es-ES"/>
        </w:rPr>
      </w:pPr>
      <w:r w:rsidRPr="009A775F">
        <w:rPr>
          <w:rFonts w:ascii="Verdana" w:eastAsia="Times New Roman" w:hAnsi="Verdana" w:cs="Times New Roman"/>
          <w:sz w:val="20"/>
          <w:szCs w:val="20"/>
          <w:lang w:val="es-ES" w:eastAsia="es-PR"/>
        </w:rPr>
        <w:t>La Sociedad Americana de Bancos de Sangre (conocida por sus siglas del inglés AABB)</w:t>
      </w:r>
      <w:r w:rsidR="00E25FF1" w:rsidRPr="009A775F">
        <w:rPr>
          <w:rFonts w:ascii="Verdana" w:eastAsia="Times New Roman" w:hAnsi="Verdana" w:cs="Times New Roman"/>
          <w:sz w:val="20"/>
          <w:szCs w:val="20"/>
          <w:lang w:val="es-ES" w:eastAsia="es-PR"/>
        </w:rPr>
        <w:t>, refiere</w:t>
      </w:r>
      <w:r w:rsidRPr="009A775F">
        <w:rPr>
          <w:rFonts w:ascii="Verdana" w:eastAsia="Times New Roman" w:hAnsi="Verdana" w:cs="Times New Roman"/>
          <w:sz w:val="20"/>
          <w:szCs w:val="20"/>
          <w:lang w:val="es-ES" w:eastAsia="es-PR"/>
        </w:rPr>
        <w:t xml:space="preserve"> que  aproximadamente 85 millones de unidades de eritrocitos son transfundidas anualmente.</w:t>
      </w:r>
      <w:r w:rsidR="004C62A1" w:rsidRPr="009A775F">
        <w:rPr>
          <w:rFonts w:ascii="Verdana" w:eastAsia="Times New Roman" w:hAnsi="Verdana" w:cs="Times New Roman"/>
          <w:sz w:val="20"/>
          <w:szCs w:val="20"/>
          <w:vertAlign w:val="superscript"/>
          <w:lang w:val="es-ES" w:eastAsia="es-PR"/>
        </w:rPr>
        <w:t>3</w:t>
      </w:r>
    </w:p>
    <w:p w:rsidR="00FB00DC" w:rsidRPr="009A775F" w:rsidRDefault="00FB00DC" w:rsidP="00B9435F">
      <w:pPr>
        <w:spacing w:after="0" w:line="240" w:lineRule="auto"/>
        <w:jc w:val="both"/>
        <w:rPr>
          <w:rFonts w:ascii="Verdana" w:hAnsi="Verdana"/>
          <w:sz w:val="20"/>
          <w:szCs w:val="20"/>
          <w:lang w:val="es-ES"/>
        </w:rPr>
      </w:pPr>
    </w:p>
    <w:p w:rsidR="00B9435F" w:rsidRPr="009A775F" w:rsidRDefault="00B9435F" w:rsidP="00B9435F">
      <w:pPr>
        <w:spacing w:after="0" w:line="240" w:lineRule="auto"/>
        <w:jc w:val="both"/>
        <w:rPr>
          <w:rFonts w:ascii="Verdana" w:hAnsi="Verdana"/>
          <w:sz w:val="20"/>
          <w:szCs w:val="20"/>
          <w:lang w:val="es-MX"/>
        </w:rPr>
      </w:pPr>
      <w:r w:rsidRPr="009A775F">
        <w:rPr>
          <w:rFonts w:ascii="Verdana" w:hAnsi="Verdana"/>
          <w:sz w:val="20"/>
          <w:szCs w:val="20"/>
          <w:lang w:val="es-ES"/>
        </w:rPr>
        <w:t xml:space="preserve">La Organización Mundial de la Salud reportó en el 2009 que </w:t>
      </w:r>
      <w:r w:rsidR="00E25FF1" w:rsidRPr="009A775F">
        <w:rPr>
          <w:rFonts w:ascii="Verdana" w:hAnsi="Verdana"/>
          <w:sz w:val="20"/>
          <w:szCs w:val="20"/>
          <w:lang w:val="es-ES"/>
        </w:rPr>
        <w:t>cada año</w:t>
      </w:r>
      <w:r w:rsidRPr="009A775F">
        <w:rPr>
          <w:rFonts w:ascii="Verdana" w:hAnsi="Verdana"/>
          <w:sz w:val="20"/>
          <w:szCs w:val="20"/>
          <w:lang w:val="es-ES"/>
        </w:rPr>
        <w:t xml:space="preserve"> se colectaban más de 81 millones de unidades de sangre en el mundo y se estimaba que alrededor de 80 millones de unidades eran transfundidas, de ellas, más del 40 % entre Europa y Estados Unidos. En </w:t>
      </w:r>
      <w:r w:rsidR="00D64CD3" w:rsidRPr="009A775F">
        <w:rPr>
          <w:rFonts w:ascii="Verdana" w:hAnsi="Verdana"/>
          <w:sz w:val="20"/>
          <w:szCs w:val="20"/>
          <w:lang w:val="es-ES"/>
        </w:rPr>
        <w:t>Cuba, alrededor</w:t>
      </w:r>
      <w:r w:rsidRPr="009A775F">
        <w:rPr>
          <w:rFonts w:ascii="Verdana" w:hAnsi="Verdana"/>
          <w:sz w:val="20"/>
          <w:szCs w:val="20"/>
          <w:lang w:val="es-ES"/>
        </w:rPr>
        <w:t xml:space="preserve"> de 400 000 unidades</w:t>
      </w:r>
      <w:r w:rsidR="00146A8C" w:rsidRPr="009A775F">
        <w:rPr>
          <w:rFonts w:ascii="Verdana" w:hAnsi="Verdana"/>
          <w:sz w:val="20"/>
          <w:szCs w:val="20"/>
          <w:lang w:val="es-ES"/>
        </w:rPr>
        <w:t xml:space="preserve"> anualmente son </w:t>
      </w:r>
      <w:r w:rsidR="00D64CD3" w:rsidRPr="009A775F">
        <w:rPr>
          <w:rFonts w:ascii="Verdana" w:hAnsi="Verdana"/>
          <w:sz w:val="20"/>
          <w:szCs w:val="20"/>
          <w:lang w:val="es-ES"/>
        </w:rPr>
        <w:t>colectadas,</w:t>
      </w:r>
      <w:r w:rsidRPr="009A775F">
        <w:rPr>
          <w:rFonts w:ascii="Verdana" w:hAnsi="Verdana"/>
          <w:sz w:val="20"/>
          <w:szCs w:val="20"/>
          <w:lang w:val="es-ES"/>
        </w:rPr>
        <w:t xml:space="preserve"> en el año 2011 se realizaron 346 425 donaciones de sangre y se transfundieron 145 163 (1,4 % de la población). </w:t>
      </w:r>
      <w:r w:rsidR="004C62A1" w:rsidRPr="009A775F">
        <w:rPr>
          <w:rFonts w:ascii="Verdana" w:hAnsi="Verdana"/>
          <w:sz w:val="20"/>
          <w:szCs w:val="20"/>
          <w:vertAlign w:val="superscript"/>
          <w:lang w:val="es-MX"/>
        </w:rPr>
        <w:t>4</w:t>
      </w:r>
      <w:r w:rsidR="003B3469" w:rsidRPr="009A775F">
        <w:rPr>
          <w:rFonts w:ascii="Verdana" w:hAnsi="Verdana"/>
          <w:sz w:val="20"/>
          <w:szCs w:val="20"/>
          <w:vertAlign w:val="superscript"/>
          <w:lang w:val="es-MX"/>
        </w:rPr>
        <w:t>,</w:t>
      </w:r>
      <w:r w:rsidR="004C62A1" w:rsidRPr="009A775F">
        <w:rPr>
          <w:rFonts w:ascii="Verdana" w:hAnsi="Verdana"/>
          <w:sz w:val="20"/>
          <w:szCs w:val="20"/>
          <w:vertAlign w:val="superscript"/>
          <w:lang w:val="es-MX"/>
        </w:rPr>
        <w:t>5</w:t>
      </w:r>
    </w:p>
    <w:p w:rsidR="00FB00DC" w:rsidRPr="009A775F" w:rsidRDefault="00FB00DC" w:rsidP="00454779">
      <w:pPr>
        <w:autoSpaceDE w:val="0"/>
        <w:autoSpaceDN w:val="0"/>
        <w:adjustRightInd w:val="0"/>
        <w:spacing w:after="0" w:line="240" w:lineRule="auto"/>
        <w:jc w:val="both"/>
        <w:rPr>
          <w:rFonts w:ascii="Verdana" w:hAnsi="Verdana" w:cs="Arial"/>
          <w:sz w:val="20"/>
          <w:szCs w:val="20"/>
          <w:lang w:val="es-ES"/>
        </w:rPr>
      </w:pPr>
    </w:p>
    <w:p w:rsidR="00360753" w:rsidRPr="009A775F" w:rsidRDefault="00D07468" w:rsidP="00454779">
      <w:pPr>
        <w:autoSpaceDE w:val="0"/>
        <w:autoSpaceDN w:val="0"/>
        <w:adjustRightInd w:val="0"/>
        <w:spacing w:after="0" w:line="240" w:lineRule="auto"/>
        <w:jc w:val="both"/>
        <w:rPr>
          <w:rFonts w:ascii="Verdana" w:hAnsi="Verdana" w:cs="Arial"/>
          <w:sz w:val="20"/>
          <w:szCs w:val="20"/>
          <w:lang w:val="es-MX"/>
        </w:rPr>
      </w:pPr>
      <w:r w:rsidRPr="009A775F">
        <w:rPr>
          <w:rFonts w:ascii="Verdana" w:hAnsi="Verdana" w:cs="Arial"/>
          <w:sz w:val="20"/>
          <w:szCs w:val="20"/>
          <w:lang w:val="es-ES"/>
        </w:rPr>
        <w:t>La decisión de transfundir sangre o pr</w:t>
      </w:r>
      <w:r w:rsidR="00DA02FD" w:rsidRPr="009A775F">
        <w:rPr>
          <w:rFonts w:ascii="Verdana" w:hAnsi="Verdana" w:cs="Arial"/>
          <w:sz w:val="20"/>
          <w:szCs w:val="20"/>
          <w:lang w:val="es-ES"/>
        </w:rPr>
        <w:t xml:space="preserve">oductos sanguíneos debe basarse </w:t>
      </w:r>
      <w:r w:rsidRPr="009A775F">
        <w:rPr>
          <w:rFonts w:ascii="Verdana" w:hAnsi="Verdana" w:cs="Arial"/>
          <w:sz w:val="20"/>
          <w:szCs w:val="20"/>
          <w:lang w:val="es-ES"/>
        </w:rPr>
        <w:t>siempre en una valoración cuidadosa de</w:t>
      </w:r>
      <w:r w:rsidR="00DA02FD" w:rsidRPr="009A775F">
        <w:rPr>
          <w:rFonts w:ascii="Verdana" w:hAnsi="Verdana" w:cs="Arial"/>
          <w:sz w:val="20"/>
          <w:szCs w:val="20"/>
          <w:lang w:val="es-ES"/>
        </w:rPr>
        <w:t xml:space="preserve"> las indicaciones clínicas y de </w:t>
      </w:r>
      <w:r w:rsidRPr="009A775F">
        <w:rPr>
          <w:rFonts w:ascii="Verdana" w:hAnsi="Verdana" w:cs="Arial"/>
          <w:sz w:val="20"/>
          <w:szCs w:val="20"/>
          <w:lang w:val="es-ES"/>
        </w:rPr>
        <w:t xml:space="preserve">laboratorio. </w:t>
      </w:r>
      <w:r w:rsidR="00DA2EE6" w:rsidRPr="009A775F">
        <w:rPr>
          <w:rFonts w:ascii="Verdana" w:hAnsi="Verdana" w:cs="Arial"/>
          <w:sz w:val="20"/>
          <w:szCs w:val="20"/>
          <w:lang w:val="es-MX"/>
        </w:rPr>
        <w:t>E</w:t>
      </w:r>
      <w:r w:rsidR="00DA2EE6" w:rsidRPr="009A775F">
        <w:rPr>
          <w:rFonts w:ascii="Verdana" w:hAnsi="Verdana" w:cs="Arial"/>
          <w:sz w:val="20"/>
          <w:szCs w:val="20"/>
          <w:lang w:val="es-ES"/>
        </w:rPr>
        <w:t>l Programa Nacional de Sangre (PNS) como parte del Sistema Nacional de Salud, tiene la responsabilidad de ejecutar la política y el plan de sangre, definir las necesidades nacionales de hemocomponentes y las metas anuales de recolección de sangre voluntaria.</w:t>
      </w:r>
      <w:r w:rsidR="00DA2EE6" w:rsidRPr="009A775F">
        <w:rPr>
          <w:rFonts w:ascii="Verdana" w:hAnsi="Verdana" w:cs="Arial"/>
          <w:sz w:val="20"/>
          <w:szCs w:val="20"/>
          <w:vertAlign w:val="superscript"/>
          <w:lang w:val="es-MX"/>
        </w:rPr>
        <w:t xml:space="preserve"> </w:t>
      </w:r>
      <w:r w:rsidR="004C62A1" w:rsidRPr="009A775F">
        <w:rPr>
          <w:rFonts w:ascii="Verdana" w:hAnsi="Verdana" w:cs="Arial"/>
          <w:sz w:val="20"/>
          <w:szCs w:val="20"/>
          <w:vertAlign w:val="superscript"/>
          <w:lang w:val="es-MX"/>
        </w:rPr>
        <w:t>6</w:t>
      </w:r>
      <w:r w:rsidR="00DA2EE6" w:rsidRPr="009A775F">
        <w:rPr>
          <w:rFonts w:ascii="Verdana" w:hAnsi="Verdana" w:cs="Arial"/>
          <w:sz w:val="20"/>
          <w:szCs w:val="20"/>
          <w:lang w:val="es-MX"/>
        </w:rPr>
        <w:t xml:space="preserve"> </w:t>
      </w:r>
      <w:r w:rsidRPr="009A775F">
        <w:rPr>
          <w:rFonts w:ascii="Verdana" w:hAnsi="Verdana" w:cs="Arial"/>
          <w:sz w:val="20"/>
          <w:szCs w:val="20"/>
          <w:lang w:val="es-ES"/>
        </w:rPr>
        <w:t>Sin embargo, aunque la respo</w:t>
      </w:r>
      <w:r w:rsidR="00DA02FD" w:rsidRPr="009A775F">
        <w:rPr>
          <w:rFonts w:ascii="Verdana" w:hAnsi="Verdana" w:cs="Arial"/>
          <w:sz w:val="20"/>
          <w:szCs w:val="20"/>
          <w:lang w:val="es-ES"/>
        </w:rPr>
        <w:t xml:space="preserve">nsabilidad final de transfundir </w:t>
      </w:r>
      <w:r w:rsidRPr="009A775F">
        <w:rPr>
          <w:rFonts w:ascii="Verdana" w:hAnsi="Verdana" w:cs="Arial"/>
          <w:sz w:val="20"/>
          <w:szCs w:val="20"/>
          <w:lang w:val="es-ES"/>
        </w:rPr>
        <w:t>descansa en los que prescriben la sangre, el uso apropiado de la sangre</w:t>
      </w:r>
      <w:r w:rsidR="00DA02FD" w:rsidRPr="009A775F">
        <w:rPr>
          <w:rFonts w:ascii="Verdana" w:hAnsi="Verdana" w:cs="Arial"/>
          <w:sz w:val="20"/>
          <w:szCs w:val="20"/>
          <w:lang w:val="es-ES"/>
        </w:rPr>
        <w:t xml:space="preserve"> </w:t>
      </w:r>
      <w:r w:rsidRPr="009A775F">
        <w:rPr>
          <w:rFonts w:ascii="Verdana" w:hAnsi="Verdana" w:cs="Arial"/>
          <w:sz w:val="20"/>
          <w:szCs w:val="20"/>
          <w:lang w:val="es-ES"/>
        </w:rPr>
        <w:t>y productos sanguíneos no puede alcanzarse en forma aislada de los otros</w:t>
      </w:r>
      <w:r w:rsidR="00B9435F" w:rsidRPr="009A775F">
        <w:rPr>
          <w:rFonts w:ascii="Verdana" w:hAnsi="Verdana" w:cs="Arial"/>
          <w:sz w:val="20"/>
          <w:szCs w:val="20"/>
          <w:lang w:val="es-ES"/>
        </w:rPr>
        <w:t xml:space="preserve"> </w:t>
      </w:r>
      <w:r w:rsidRPr="009A775F">
        <w:rPr>
          <w:rFonts w:ascii="Verdana" w:hAnsi="Verdana" w:cs="Arial"/>
          <w:sz w:val="20"/>
          <w:szCs w:val="20"/>
          <w:lang w:val="es-ES"/>
        </w:rPr>
        <w:t>elementos del sistema de salud. So</w:t>
      </w:r>
      <w:r w:rsidR="00DA02FD" w:rsidRPr="009A775F">
        <w:rPr>
          <w:rFonts w:ascii="Verdana" w:hAnsi="Verdana" w:cs="Arial"/>
          <w:sz w:val="20"/>
          <w:szCs w:val="20"/>
          <w:lang w:val="es-ES"/>
        </w:rPr>
        <w:t xml:space="preserve">lo es posible como parte de una </w:t>
      </w:r>
      <w:r w:rsidR="00DA2EE6" w:rsidRPr="009A775F">
        <w:rPr>
          <w:rFonts w:ascii="Verdana" w:hAnsi="Verdana" w:cs="Arial"/>
          <w:sz w:val="20"/>
          <w:szCs w:val="20"/>
          <w:lang w:val="es-ES"/>
        </w:rPr>
        <w:t>estrategia integradora.</w:t>
      </w:r>
    </w:p>
    <w:p w:rsidR="00D07468" w:rsidRPr="009A775F" w:rsidRDefault="00D07468" w:rsidP="00454779">
      <w:pPr>
        <w:spacing w:after="0" w:line="240" w:lineRule="auto"/>
        <w:jc w:val="both"/>
        <w:rPr>
          <w:rFonts w:ascii="Verdana" w:hAnsi="Verdana"/>
          <w:sz w:val="20"/>
          <w:szCs w:val="20"/>
          <w:lang w:val="es-ES"/>
        </w:rPr>
      </w:pPr>
    </w:p>
    <w:p w:rsidR="00B9435F" w:rsidRPr="009A775F" w:rsidRDefault="00D07468" w:rsidP="00454779">
      <w:pPr>
        <w:autoSpaceDE w:val="0"/>
        <w:autoSpaceDN w:val="0"/>
        <w:adjustRightInd w:val="0"/>
        <w:spacing w:after="0" w:line="240" w:lineRule="auto"/>
        <w:jc w:val="both"/>
        <w:rPr>
          <w:rFonts w:ascii="Verdana" w:hAnsi="Verdana" w:cs="Arial"/>
          <w:iCs/>
          <w:sz w:val="20"/>
          <w:szCs w:val="20"/>
          <w:vertAlign w:val="superscript"/>
          <w:lang w:val="es-MX"/>
        </w:rPr>
      </w:pPr>
      <w:r w:rsidRPr="009A775F">
        <w:rPr>
          <w:rFonts w:ascii="Verdana" w:hAnsi="Verdana" w:cs="Arial"/>
          <w:sz w:val="20"/>
          <w:szCs w:val="20"/>
          <w:lang w:val="es-ES"/>
        </w:rPr>
        <w:t>Se recomienda el us</w:t>
      </w:r>
      <w:r w:rsidR="004B4C2F" w:rsidRPr="009A775F">
        <w:rPr>
          <w:rFonts w:ascii="Verdana" w:hAnsi="Verdana" w:cs="Arial"/>
          <w:sz w:val="20"/>
          <w:szCs w:val="20"/>
          <w:lang w:val="es-ES"/>
        </w:rPr>
        <w:t xml:space="preserve">o racional de la transfusión de </w:t>
      </w:r>
      <w:r w:rsidRPr="009A775F">
        <w:rPr>
          <w:rFonts w:ascii="Verdana" w:hAnsi="Verdana" w:cs="Arial"/>
          <w:sz w:val="20"/>
          <w:szCs w:val="20"/>
          <w:lang w:val="es-ES"/>
        </w:rPr>
        <w:t>sangre porque exist</w:t>
      </w:r>
      <w:r w:rsidR="004B4C2F" w:rsidRPr="009A775F">
        <w:rPr>
          <w:rFonts w:ascii="Verdana" w:hAnsi="Verdana" w:cs="Arial"/>
          <w:sz w:val="20"/>
          <w:szCs w:val="20"/>
          <w:lang w:val="es-ES"/>
        </w:rPr>
        <w:t xml:space="preserve">e, por una parte, déficit en el </w:t>
      </w:r>
      <w:r w:rsidRPr="009A775F">
        <w:rPr>
          <w:rFonts w:ascii="Verdana" w:hAnsi="Verdana" w:cs="Arial"/>
          <w:sz w:val="20"/>
          <w:szCs w:val="20"/>
          <w:lang w:val="es-ES"/>
        </w:rPr>
        <w:t>abastecimiento del p</w:t>
      </w:r>
      <w:r w:rsidR="004B4C2F" w:rsidRPr="009A775F">
        <w:rPr>
          <w:rFonts w:ascii="Verdana" w:hAnsi="Verdana" w:cs="Arial"/>
          <w:sz w:val="20"/>
          <w:szCs w:val="20"/>
          <w:lang w:val="es-ES"/>
        </w:rPr>
        <w:t xml:space="preserve">roducto en los bancos de sangre </w:t>
      </w:r>
      <w:r w:rsidRPr="009A775F">
        <w:rPr>
          <w:rFonts w:ascii="Verdana" w:hAnsi="Verdana" w:cs="Arial"/>
          <w:sz w:val="20"/>
          <w:szCs w:val="20"/>
          <w:lang w:val="es-ES"/>
        </w:rPr>
        <w:t>y, por otra, el riesgo</w:t>
      </w:r>
      <w:r w:rsidR="004B4C2F" w:rsidRPr="009A775F">
        <w:rPr>
          <w:rFonts w:ascii="Verdana" w:hAnsi="Verdana" w:cs="Arial"/>
          <w:sz w:val="20"/>
          <w:szCs w:val="20"/>
          <w:lang w:val="es-ES"/>
        </w:rPr>
        <w:t xml:space="preserve"> de transmisión de enfermedades </w:t>
      </w:r>
      <w:r w:rsidRPr="009A775F">
        <w:rPr>
          <w:rFonts w:ascii="Verdana" w:hAnsi="Verdana" w:cs="Arial"/>
          <w:sz w:val="20"/>
          <w:szCs w:val="20"/>
          <w:lang w:val="es-ES"/>
        </w:rPr>
        <w:t>infecciosas. Aproximadament</w:t>
      </w:r>
      <w:r w:rsidR="004B4C2F" w:rsidRPr="009A775F">
        <w:rPr>
          <w:rFonts w:ascii="Verdana" w:hAnsi="Verdana" w:cs="Arial"/>
          <w:sz w:val="20"/>
          <w:szCs w:val="20"/>
          <w:lang w:val="es-ES"/>
        </w:rPr>
        <w:t xml:space="preserve">e 20 millones </w:t>
      </w:r>
      <w:r w:rsidRPr="009A775F">
        <w:rPr>
          <w:rFonts w:ascii="Verdana" w:hAnsi="Verdana" w:cs="Arial"/>
          <w:sz w:val="20"/>
          <w:szCs w:val="20"/>
          <w:lang w:val="es-ES"/>
        </w:rPr>
        <w:t>de component</w:t>
      </w:r>
      <w:r w:rsidR="004B4C2F" w:rsidRPr="009A775F">
        <w:rPr>
          <w:rFonts w:ascii="Verdana" w:hAnsi="Verdana" w:cs="Arial"/>
          <w:sz w:val="20"/>
          <w:szCs w:val="20"/>
          <w:lang w:val="es-ES"/>
        </w:rPr>
        <w:t xml:space="preserve">es sanguíneos son transfundidos </w:t>
      </w:r>
      <w:r w:rsidRPr="009A775F">
        <w:rPr>
          <w:rFonts w:ascii="Verdana" w:hAnsi="Verdana" w:cs="Arial"/>
          <w:sz w:val="20"/>
          <w:szCs w:val="20"/>
          <w:lang w:val="es-ES"/>
        </w:rPr>
        <w:t>cada año en 4 millo</w:t>
      </w:r>
      <w:r w:rsidR="004B4C2F" w:rsidRPr="009A775F">
        <w:rPr>
          <w:rFonts w:ascii="Verdana" w:hAnsi="Verdana" w:cs="Arial"/>
          <w:sz w:val="20"/>
          <w:szCs w:val="20"/>
          <w:lang w:val="es-ES"/>
        </w:rPr>
        <w:t xml:space="preserve">nes de pacientes en los Estados </w:t>
      </w:r>
      <w:r w:rsidRPr="009A775F">
        <w:rPr>
          <w:rFonts w:ascii="Verdana" w:hAnsi="Verdana" w:cs="Arial"/>
          <w:sz w:val="20"/>
          <w:szCs w:val="20"/>
          <w:lang w:val="es-ES"/>
        </w:rPr>
        <w:t>Unidos; y e</w:t>
      </w:r>
      <w:r w:rsidR="004B4C2F" w:rsidRPr="009A775F">
        <w:rPr>
          <w:rFonts w:ascii="Verdana" w:hAnsi="Verdana" w:cs="Arial"/>
          <w:sz w:val="20"/>
          <w:szCs w:val="20"/>
          <w:lang w:val="es-ES"/>
        </w:rPr>
        <w:t xml:space="preserve">ntre esta enorme cantidad se ha </w:t>
      </w:r>
      <w:r w:rsidRPr="009A775F">
        <w:rPr>
          <w:rFonts w:ascii="Verdana" w:hAnsi="Verdana" w:cs="Arial"/>
          <w:sz w:val="20"/>
          <w:szCs w:val="20"/>
          <w:lang w:val="es-ES"/>
        </w:rPr>
        <w:t>reportado que la cifr</w:t>
      </w:r>
      <w:r w:rsidR="004B4C2F" w:rsidRPr="009A775F">
        <w:rPr>
          <w:rFonts w:ascii="Verdana" w:hAnsi="Verdana" w:cs="Arial"/>
          <w:sz w:val="20"/>
          <w:szCs w:val="20"/>
          <w:lang w:val="es-ES"/>
        </w:rPr>
        <w:t xml:space="preserve">a de transfusiones innecesarias </w:t>
      </w:r>
      <w:r w:rsidRPr="009A775F">
        <w:rPr>
          <w:rFonts w:ascii="Verdana" w:hAnsi="Verdana" w:cs="Arial"/>
          <w:sz w:val="20"/>
          <w:szCs w:val="20"/>
          <w:lang w:val="es-ES"/>
        </w:rPr>
        <w:t>oscil</w:t>
      </w:r>
      <w:r w:rsidR="008A0529" w:rsidRPr="009A775F">
        <w:rPr>
          <w:rFonts w:ascii="Verdana" w:hAnsi="Verdana" w:cs="Arial"/>
          <w:sz w:val="20"/>
          <w:szCs w:val="20"/>
          <w:lang w:val="es-ES"/>
        </w:rPr>
        <w:t>a en un rango que va de 4 a 67%</w:t>
      </w:r>
      <w:r w:rsidR="004B4C2F" w:rsidRPr="009A775F">
        <w:rPr>
          <w:rFonts w:ascii="Verdana" w:hAnsi="Verdana" w:cs="Arial"/>
          <w:iCs/>
          <w:sz w:val="20"/>
          <w:szCs w:val="20"/>
          <w:lang w:val="es-ES"/>
        </w:rPr>
        <w:t>.</w:t>
      </w:r>
      <w:r w:rsidR="004C62A1" w:rsidRPr="009A775F">
        <w:rPr>
          <w:rFonts w:ascii="Verdana" w:hAnsi="Verdana" w:cs="Arial"/>
          <w:iCs/>
          <w:sz w:val="20"/>
          <w:szCs w:val="20"/>
          <w:vertAlign w:val="superscript"/>
          <w:lang w:val="es-ES"/>
        </w:rPr>
        <w:t>7</w:t>
      </w:r>
    </w:p>
    <w:p w:rsidR="001C2980" w:rsidRPr="009A775F" w:rsidRDefault="001C2980" w:rsidP="00454779">
      <w:pPr>
        <w:autoSpaceDE w:val="0"/>
        <w:autoSpaceDN w:val="0"/>
        <w:adjustRightInd w:val="0"/>
        <w:spacing w:after="0" w:line="240" w:lineRule="auto"/>
        <w:jc w:val="both"/>
        <w:rPr>
          <w:rFonts w:ascii="Verdana" w:hAnsi="Verdana" w:cs="Arial"/>
          <w:iCs/>
          <w:sz w:val="20"/>
          <w:szCs w:val="20"/>
          <w:lang w:val="es-MX"/>
        </w:rPr>
      </w:pPr>
    </w:p>
    <w:p w:rsidR="00B9435F" w:rsidRPr="009A775F" w:rsidRDefault="00C158A1" w:rsidP="001C2980">
      <w:pPr>
        <w:autoSpaceDE w:val="0"/>
        <w:autoSpaceDN w:val="0"/>
        <w:adjustRightInd w:val="0"/>
        <w:spacing w:after="0" w:line="240" w:lineRule="auto"/>
        <w:jc w:val="both"/>
        <w:rPr>
          <w:rFonts w:ascii="Verdana" w:hAnsi="Verdana" w:cs="Arial"/>
          <w:iCs/>
          <w:sz w:val="20"/>
          <w:szCs w:val="20"/>
          <w:lang w:val="es-MX"/>
        </w:rPr>
      </w:pPr>
      <w:r w:rsidRPr="009A775F">
        <w:rPr>
          <w:rFonts w:ascii="Verdana" w:eastAsia="Times New Roman" w:hAnsi="Verdana" w:cs="Times New Roman"/>
          <w:sz w:val="20"/>
          <w:szCs w:val="20"/>
          <w:lang w:val="es-ES" w:eastAsia="es-PR"/>
        </w:rPr>
        <w:t xml:space="preserve">El desarrollo de la medicina contemporánea y el envejecimiento poblacional se citan entre los principales factores que incrementan el consumo de </w:t>
      </w:r>
      <w:proofErr w:type="spellStart"/>
      <w:r w:rsidRPr="009A775F">
        <w:rPr>
          <w:rFonts w:ascii="Verdana" w:eastAsia="Times New Roman" w:hAnsi="Verdana" w:cs="Times New Roman"/>
          <w:sz w:val="20"/>
          <w:szCs w:val="20"/>
          <w:lang w:val="es-ES" w:eastAsia="es-PR"/>
        </w:rPr>
        <w:t>hemocomponentes</w:t>
      </w:r>
      <w:proofErr w:type="spellEnd"/>
      <w:r w:rsidRPr="009A775F">
        <w:rPr>
          <w:rFonts w:ascii="Verdana" w:eastAsia="Times New Roman" w:hAnsi="Verdana" w:cs="Times New Roman"/>
          <w:sz w:val="20"/>
          <w:szCs w:val="20"/>
          <w:lang w:val="es-ES" w:eastAsia="es-PR"/>
        </w:rPr>
        <w:t>.</w:t>
      </w:r>
      <w:r w:rsidRPr="009A775F">
        <w:rPr>
          <w:rFonts w:ascii="Verdana" w:eastAsia="Times New Roman" w:hAnsi="Verdana" w:cs="Times New Roman"/>
          <w:sz w:val="20"/>
          <w:szCs w:val="20"/>
          <w:vertAlign w:val="superscript"/>
          <w:lang w:val="es-ES" w:eastAsia="es-PR"/>
        </w:rPr>
        <w:t xml:space="preserve"> </w:t>
      </w:r>
      <w:r w:rsidR="00146A8C" w:rsidRPr="009A775F">
        <w:rPr>
          <w:rFonts w:ascii="Verdana" w:hAnsi="Verdana" w:cs="Arial"/>
          <w:sz w:val="20"/>
          <w:szCs w:val="20"/>
          <w:lang w:val="es-ES"/>
        </w:rPr>
        <w:t>La transfusión como</w:t>
      </w:r>
      <w:r w:rsidR="00B9435F" w:rsidRPr="009A775F">
        <w:rPr>
          <w:rFonts w:ascii="Verdana" w:hAnsi="Verdana" w:cs="Arial"/>
          <w:sz w:val="20"/>
          <w:szCs w:val="20"/>
          <w:lang w:val="es-ES"/>
        </w:rPr>
        <w:t xml:space="preserve"> una parte esencial de los servicios de salud </w:t>
      </w:r>
      <w:r w:rsidR="009D0378" w:rsidRPr="009A775F">
        <w:rPr>
          <w:rFonts w:ascii="Verdana" w:hAnsi="Verdana" w:cs="Arial"/>
          <w:sz w:val="20"/>
          <w:szCs w:val="20"/>
          <w:lang w:val="es-ES"/>
        </w:rPr>
        <w:t>modernos</w:t>
      </w:r>
      <w:r w:rsidR="00B9435F" w:rsidRPr="009A775F">
        <w:rPr>
          <w:rFonts w:ascii="Verdana" w:eastAsia="Times New Roman" w:hAnsi="Verdana" w:cs="Times New Roman"/>
          <w:sz w:val="20"/>
          <w:szCs w:val="20"/>
          <w:lang w:val="es-ES" w:eastAsia="es-PR"/>
        </w:rPr>
        <w:t xml:space="preserve"> </w:t>
      </w:r>
      <w:r w:rsidR="009D0378" w:rsidRPr="009A775F">
        <w:rPr>
          <w:rFonts w:ascii="Verdana" w:eastAsia="Times New Roman" w:hAnsi="Verdana" w:cs="Times New Roman"/>
          <w:sz w:val="20"/>
          <w:szCs w:val="20"/>
          <w:lang w:val="es-ES" w:eastAsia="es-PR"/>
        </w:rPr>
        <w:t>f</w:t>
      </w:r>
      <w:r w:rsidR="00B9435F" w:rsidRPr="009A775F">
        <w:rPr>
          <w:rFonts w:ascii="Verdana" w:eastAsia="Times New Roman" w:hAnsi="Verdana" w:cs="Times New Roman"/>
          <w:sz w:val="20"/>
          <w:szCs w:val="20"/>
          <w:lang w:val="es-ES" w:eastAsia="es-PR"/>
        </w:rPr>
        <w:t>orma parte de la terapéutica hospitalaria desde hace más de medio siglo. Hoy en día no fuera posible el desarrollo de las grandes cirugías, los trasplantes</w:t>
      </w:r>
      <w:r w:rsidR="001C2980" w:rsidRPr="009A775F">
        <w:rPr>
          <w:rFonts w:ascii="Verdana" w:eastAsia="Times New Roman" w:hAnsi="Verdana" w:cs="Times New Roman"/>
          <w:sz w:val="20"/>
          <w:szCs w:val="20"/>
          <w:lang w:val="es-ES" w:eastAsia="es-PR"/>
        </w:rPr>
        <w:t xml:space="preserve"> de órganos y los avances en el</w:t>
      </w:r>
      <w:r w:rsidR="001C2980" w:rsidRPr="009A775F">
        <w:rPr>
          <w:rFonts w:ascii="Verdana" w:eastAsia="Times New Roman" w:hAnsi="Verdana" w:cs="Times New Roman"/>
          <w:sz w:val="20"/>
          <w:szCs w:val="20"/>
          <w:lang w:val="es-MX" w:eastAsia="es-PR"/>
        </w:rPr>
        <w:t xml:space="preserve"> </w:t>
      </w:r>
      <w:r w:rsidR="00B9435F" w:rsidRPr="009A775F">
        <w:rPr>
          <w:rFonts w:ascii="Verdana" w:eastAsia="Times New Roman" w:hAnsi="Verdana" w:cs="Times New Roman"/>
          <w:sz w:val="20"/>
          <w:szCs w:val="20"/>
          <w:lang w:val="es-ES" w:eastAsia="es-PR"/>
        </w:rPr>
        <w:t>tratamiento del cáncer, de no existir un adecuado soporte transfusional. Sin embargo, es bien conocida la elevada variabilidad, entre países, centros hospitalarios e incluso entre profesionales, del uso de los hemocomponentes.</w:t>
      </w:r>
      <w:r w:rsidR="004C62A1" w:rsidRPr="009A775F">
        <w:rPr>
          <w:rFonts w:ascii="Verdana" w:eastAsia="Times New Roman" w:hAnsi="Verdana" w:cs="Times New Roman"/>
          <w:sz w:val="20"/>
          <w:szCs w:val="20"/>
          <w:vertAlign w:val="superscript"/>
          <w:lang w:val="es-ES" w:eastAsia="es-PR"/>
        </w:rPr>
        <w:t>5</w:t>
      </w:r>
    </w:p>
    <w:p w:rsidR="001C2980" w:rsidRPr="009A775F" w:rsidRDefault="001C2980" w:rsidP="001C2980">
      <w:pPr>
        <w:autoSpaceDE w:val="0"/>
        <w:autoSpaceDN w:val="0"/>
        <w:adjustRightInd w:val="0"/>
        <w:spacing w:after="0" w:line="240" w:lineRule="auto"/>
        <w:jc w:val="both"/>
        <w:rPr>
          <w:rFonts w:ascii="Verdana" w:hAnsi="Verdana" w:cs="Arial"/>
          <w:iCs/>
          <w:sz w:val="20"/>
          <w:szCs w:val="20"/>
          <w:lang w:val="es-MX"/>
        </w:rPr>
      </w:pPr>
    </w:p>
    <w:p w:rsidR="006D3E49" w:rsidRPr="009A775F" w:rsidRDefault="00FE4F1C" w:rsidP="00FE4F1C">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Si bien l</w:t>
      </w:r>
      <w:r w:rsidRPr="009A775F">
        <w:rPr>
          <w:rFonts w:ascii="Verdana" w:eastAsia="Times New Roman" w:hAnsi="Verdana" w:cs="Times New Roman"/>
          <w:sz w:val="20"/>
          <w:szCs w:val="20"/>
          <w:lang w:val="es-ES" w:eastAsia="es-PR"/>
        </w:rPr>
        <w:t xml:space="preserve">os programas de </w:t>
      </w:r>
      <w:r w:rsidRPr="009A775F">
        <w:rPr>
          <w:rFonts w:ascii="Verdana" w:eastAsia="Times New Roman" w:hAnsi="Verdana" w:cs="Times New Roman"/>
          <w:sz w:val="20"/>
          <w:szCs w:val="20"/>
          <w:lang w:val="es-MX" w:eastAsia="es-PR"/>
        </w:rPr>
        <w:t>hemovigilancia</w:t>
      </w:r>
      <w:r w:rsidRPr="009A775F">
        <w:rPr>
          <w:rFonts w:ascii="Verdana" w:eastAsia="Times New Roman" w:hAnsi="Verdana" w:cs="Times New Roman"/>
          <w:sz w:val="20"/>
          <w:szCs w:val="20"/>
          <w:lang w:val="es-ES" w:eastAsia="es-PR"/>
        </w:rPr>
        <w:t xml:space="preserve"> no sustituyen a los programas de sangre, ya que estos son la entidad </w:t>
      </w:r>
      <w:proofErr w:type="spellStart"/>
      <w:r w:rsidR="002225B1" w:rsidRPr="009A775F">
        <w:rPr>
          <w:rFonts w:ascii="Verdana" w:eastAsia="Times New Roman" w:hAnsi="Verdana" w:cs="Times New Roman"/>
          <w:sz w:val="20"/>
          <w:szCs w:val="20"/>
          <w:lang w:val="es-ES" w:eastAsia="es-PR"/>
        </w:rPr>
        <w:t>sanitari</w:t>
      </w:r>
      <w:proofErr w:type="spellEnd"/>
      <w:r w:rsidRPr="009A775F">
        <w:rPr>
          <w:rFonts w:ascii="Verdana" w:eastAsia="Times New Roman" w:hAnsi="Verdana" w:cs="Times New Roman"/>
          <w:sz w:val="20"/>
          <w:szCs w:val="20"/>
          <w:lang w:val="es-MX" w:eastAsia="es-PR"/>
        </w:rPr>
        <w:t xml:space="preserve">a </w:t>
      </w:r>
      <w:r w:rsidRPr="009A775F">
        <w:rPr>
          <w:rFonts w:ascii="Verdana" w:eastAsia="Times New Roman" w:hAnsi="Verdana" w:cs="Times New Roman"/>
          <w:sz w:val="20"/>
          <w:szCs w:val="20"/>
          <w:lang w:val="es-ES" w:eastAsia="es-PR"/>
        </w:rPr>
        <w:t>responsable de sustentar las necesidades de sangre segura para la hemoterapia y la producción de los</w:t>
      </w:r>
      <w:r w:rsidRPr="009A775F">
        <w:rPr>
          <w:rFonts w:ascii="Verdana" w:eastAsia="Times New Roman" w:hAnsi="Verdana" w:cs="Times New Roman"/>
          <w:sz w:val="20"/>
          <w:szCs w:val="20"/>
          <w:lang w:val="es-MX" w:eastAsia="es-PR"/>
        </w:rPr>
        <w:t xml:space="preserve"> </w:t>
      </w:r>
      <w:r w:rsidRPr="009A775F">
        <w:rPr>
          <w:rFonts w:ascii="Verdana" w:eastAsia="Times New Roman" w:hAnsi="Verdana" w:cs="Times New Roman"/>
          <w:sz w:val="20"/>
          <w:szCs w:val="20"/>
          <w:lang w:val="es-ES" w:eastAsia="es-PR"/>
        </w:rPr>
        <w:t>hemoderivados, pero en las condiciones actuales contribuyen a optimizar los niveles de ST y el uso</w:t>
      </w:r>
      <w:r w:rsidRPr="009A775F">
        <w:rPr>
          <w:rFonts w:ascii="Verdana" w:eastAsia="Times New Roman" w:hAnsi="Verdana" w:cs="Times New Roman"/>
          <w:sz w:val="20"/>
          <w:szCs w:val="20"/>
          <w:lang w:val="es-MX" w:eastAsia="es-PR"/>
        </w:rPr>
        <w:t xml:space="preserve"> </w:t>
      </w:r>
      <w:r w:rsidRPr="009A775F">
        <w:rPr>
          <w:rFonts w:ascii="Verdana" w:eastAsia="Times New Roman" w:hAnsi="Verdana" w:cs="Times New Roman"/>
          <w:sz w:val="20"/>
          <w:szCs w:val="20"/>
          <w:lang w:val="es-ES" w:eastAsia="es-PR"/>
        </w:rPr>
        <w:t>apropiado de la transfusión sanguínea alcanzado, mediante el desarrollo de estrategias clínicas y de</w:t>
      </w:r>
      <w:r w:rsidRPr="009A775F">
        <w:rPr>
          <w:rFonts w:ascii="Verdana" w:eastAsia="Times New Roman" w:hAnsi="Verdana" w:cs="Times New Roman"/>
          <w:sz w:val="20"/>
          <w:szCs w:val="20"/>
          <w:lang w:val="es-MX" w:eastAsia="es-PR"/>
        </w:rPr>
        <w:t xml:space="preserve"> </w:t>
      </w:r>
      <w:r w:rsidRPr="009A775F">
        <w:rPr>
          <w:rFonts w:ascii="Verdana" w:eastAsia="Times New Roman" w:hAnsi="Verdana" w:cs="Times New Roman"/>
          <w:sz w:val="20"/>
          <w:szCs w:val="20"/>
          <w:lang w:val="es-ES" w:eastAsia="es-PR"/>
        </w:rPr>
        <w:t>investigación</w:t>
      </w:r>
      <w:r w:rsidR="006D3E49" w:rsidRPr="009A775F">
        <w:rPr>
          <w:rFonts w:ascii="Verdana" w:eastAsia="Times New Roman" w:hAnsi="Verdana" w:cs="Times New Roman"/>
          <w:sz w:val="20"/>
          <w:szCs w:val="20"/>
          <w:lang w:val="es-ES" w:eastAsia="es-PR"/>
        </w:rPr>
        <w:t>.</w:t>
      </w:r>
      <w:r w:rsidR="004C62A1" w:rsidRPr="009A775F">
        <w:rPr>
          <w:rFonts w:ascii="Verdana" w:eastAsia="Times New Roman" w:hAnsi="Verdana" w:cs="Times New Roman"/>
          <w:sz w:val="20"/>
          <w:szCs w:val="20"/>
          <w:vertAlign w:val="superscript"/>
          <w:lang w:val="es-MX" w:eastAsia="es-PR"/>
        </w:rPr>
        <w:t>8</w:t>
      </w:r>
    </w:p>
    <w:p w:rsidR="006D3E49" w:rsidRPr="009A775F" w:rsidRDefault="006D3E49" w:rsidP="00360753">
      <w:pPr>
        <w:spacing w:after="0" w:line="240" w:lineRule="auto"/>
        <w:jc w:val="both"/>
        <w:rPr>
          <w:rFonts w:ascii="Verdana" w:eastAsia="Times New Roman" w:hAnsi="Verdana" w:cs="Times New Roman"/>
          <w:sz w:val="20"/>
          <w:szCs w:val="20"/>
          <w:lang w:val="es-MX" w:eastAsia="es-PR"/>
        </w:rPr>
      </w:pPr>
    </w:p>
    <w:p w:rsidR="00360753" w:rsidRPr="009A775F" w:rsidRDefault="00E10367" w:rsidP="00360753">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ES" w:eastAsia="es-PR"/>
        </w:rPr>
        <w:t xml:space="preserve">Un uso irracional de la sangre y sus derivados es consecuencia de un incremento de los riesgos de la </w:t>
      </w:r>
      <w:proofErr w:type="spellStart"/>
      <w:r w:rsidR="008A4D98" w:rsidRPr="009A775F">
        <w:rPr>
          <w:rFonts w:ascii="Verdana" w:eastAsia="Times New Roman" w:hAnsi="Verdana" w:cs="Times New Roman"/>
          <w:sz w:val="20"/>
          <w:szCs w:val="20"/>
          <w:lang w:val="es-ES" w:eastAsia="es-PR"/>
        </w:rPr>
        <w:t>transfusi</w:t>
      </w:r>
      <w:proofErr w:type="spellEnd"/>
      <w:r w:rsidR="005603CC" w:rsidRPr="009A775F">
        <w:rPr>
          <w:rFonts w:ascii="Verdana" w:eastAsia="Times New Roman" w:hAnsi="Verdana" w:cs="Times New Roman"/>
          <w:sz w:val="20"/>
          <w:szCs w:val="20"/>
          <w:lang w:val="es-MX" w:eastAsia="es-PR"/>
        </w:rPr>
        <w:t>ó</w:t>
      </w:r>
      <w:r w:rsidRPr="009A775F">
        <w:rPr>
          <w:rFonts w:ascii="Verdana" w:eastAsia="Times New Roman" w:hAnsi="Verdana" w:cs="Times New Roman"/>
          <w:sz w:val="20"/>
          <w:szCs w:val="20"/>
          <w:lang w:val="es-ES" w:eastAsia="es-PR"/>
        </w:rPr>
        <w:t xml:space="preserve">n. </w:t>
      </w:r>
      <w:r w:rsidR="004C62A1" w:rsidRPr="009A775F">
        <w:rPr>
          <w:rFonts w:ascii="Verdana" w:eastAsia="Times New Roman" w:hAnsi="Verdana" w:cs="Times New Roman"/>
          <w:sz w:val="20"/>
          <w:szCs w:val="20"/>
          <w:vertAlign w:val="superscript"/>
          <w:lang w:val="es-MX" w:eastAsia="es-PR"/>
        </w:rPr>
        <w:t>9</w:t>
      </w:r>
    </w:p>
    <w:p w:rsidR="006D3E49" w:rsidRPr="009A775F" w:rsidRDefault="006D3E49" w:rsidP="00360753">
      <w:pPr>
        <w:spacing w:after="0" w:line="240" w:lineRule="auto"/>
        <w:jc w:val="both"/>
        <w:rPr>
          <w:rFonts w:ascii="Verdana" w:eastAsia="Times New Roman" w:hAnsi="Verdana" w:cs="Times New Roman"/>
          <w:sz w:val="20"/>
          <w:szCs w:val="20"/>
          <w:lang w:val="es-MX" w:eastAsia="es-PR"/>
        </w:rPr>
      </w:pPr>
    </w:p>
    <w:p w:rsidR="001C2980" w:rsidRPr="009A775F" w:rsidRDefault="00B439E7" w:rsidP="00360753">
      <w:pPr>
        <w:spacing w:after="0" w:line="240" w:lineRule="auto"/>
        <w:jc w:val="both"/>
        <w:rPr>
          <w:rFonts w:ascii="Verdana" w:hAnsi="Verdana"/>
          <w:sz w:val="20"/>
          <w:szCs w:val="20"/>
          <w:lang w:val="es-ES"/>
        </w:rPr>
      </w:pPr>
      <w:r w:rsidRPr="009A775F">
        <w:rPr>
          <w:rFonts w:ascii="Verdana" w:hAnsi="Verdana"/>
          <w:sz w:val="20"/>
          <w:szCs w:val="20"/>
          <w:lang w:val="es-ES"/>
        </w:rPr>
        <w:lastRenderedPageBreak/>
        <w:t xml:space="preserve">Por </w:t>
      </w:r>
      <w:r w:rsidR="00E15AF7" w:rsidRPr="009A775F">
        <w:rPr>
          <w:rFonts w:ascii="Verdana" w:hAnsi="Verdana"/>
          <w:sz w:val="20"/>
          <w:szCs w:val="20"/>
          <w:lang w:val="es-ES"/>
        </w:rPr>
        <w:t>lo que el</w:t>
      </w:r>
      <w:r w:rsidRPr="009A775F">
        <w:rPr>
          <w:rFonts w:ascii="Verdana" w:hAnsi="Verdana"/>
          <w:sz w:val="20"/>
          <w:szCs w:val="20"/>
          <w:lang w:val="es-ES"/>
        </w:rPr>
        <w:t xml:space="preserve"> objetivo del presente trabajo es valorar el uso</w:t>
      </w:r>
      <w:r w:rsidR="00360753" w:rsidRPr="009A775F">
        <w:rPr>
          <w:rFonts w:ascii="Verdana" w:hAnsi="Verdana"/>
          <w:sz w:val="20"/>
          <w:szCs w:val="20"/>
          <w:lang w:val="es-ES"/>
        </w:rPr>
        <w:t xml:space="preserve"> de la indicación de </w:t>
      </w:r>
      <w:r w:rsidR="00A852B1" w:rsidRPr="009A775F">
        <w:rPr>
          <w:rFonts w:ascii="Verdana" w:hAnsi="Verdana"/>
          <w:sz w:val="20"/>
          <w:szCs w:val="20"/>
          <w:lang w:val="es-ES"/>
        </w:rPr>
        <w:t>la sangre</w:t>
      </w:r>
      <w:r w:rsidR="00360753" w:rsidRPr="009A775F">
        <w:rPr>
          <w:rFonts w:ascii="Verdana" w:hAnsi="Verdana"/>
          <w:sz w:val="20"/>
          <w:szCs w:val="20"/>
          <w:lang w:val="es-ES"/>
        </w:rPr>
        <w:t xml:space="preserve"> y sus componentes </w:t>
      </w:r>
      <w:r w:rsidR="00E10367" w:rsidRPr="009A775F">
        <w:rPr>
          <w:rFonts w:ascii="Verdana" w:hAnsi="Verdana"/>
          <w:sz w:val="20"/>
          <w:szCs w:val="20"/>
          <w:lang w:val="es-ES"/>
        </w:rPr>
        <w:t xml:space="preserve">en el Hospital </w:t>
      </w:r>
      <w:r w:rsidR="005603CC" w:rsidRPr="009A775F">
        <w:rPr>
          <w:rFonts w:ascii="Verdana" w:hAnsi="Verdana"/>
          <w:sz w:val="20"/>
          <w:szCs w:val="20"/>
          <w:lang w:val="es-ES"/>
        </w:rPr>
        <w:t>Dr. “</w:t>
      </w:r>
      <w:r w:rsidR="00E10367" w:rsidRPr="009A775F">
        <w:rPr>
          <w:rFonts w:ascii="Verdana" w:hAnsi="Verdana"/>
          <w:sz w:val="20"/>
          <w:szCs w:val="20"/>
          <w:lang w:val="es-ES"/>
        </w:rPr>
        <w:t>León Cuervo Rubio</w:t>
      </w:r>
      <w:r w:rsidR="005603CC" w:rsidRPr="009A775F">
        <w:rPr>
          <w:rFonts w:ascii="Verdana" w:hAnsi="Verdana"/>
          <w:sz w:val="20"/>
          <w:szCs w:val="20"/>
          <w:lang w:val="es-ES"/>
        </w:rPr>
        <w:t>”</w:t>
      </w:r>
      <w:r w:rsidR="00E10367" w:rsidRPr="009A775F">
        <w:rPr>
          <w:rFonts w:ascii="Verdana" w:hAnsi="Verdana"/>
          <w:sz w:val="20"/>
          <w:szCs w:val="20"/>
          <w:lang w:val="es-ES"/>
        </w:rPr>
        <w:t xml:space="preserve"> </w:t>
      </w:r>
      <w:r w:rsidR="00472D5B" w:rsidRPr="009A775F">
        <w:rPr>
          <w:rFonts w:ascii="Verdana" w:hAnsi="Verdana"/>
          <w:sz w:val="20"/>
          <w:szCs w:val="20"/>
          <w:lang w:val="es-ES"/>
        </w:rPr>
        <w:t xml:space="preserve">(HLCR) </w:t>
      </w:r>
      <w:r w:rsidR="00360753" w:rsidRPr="009A775F">
        <w:rPr>
          <w:rFonts w:ascii="Verdana" w:hAnsi="Verdana"/>
          <w:sz w:val="20"/>
          <w:szCs w:val="20"/>
          <w:lang w:val="es-ES"/>
        </w:rPr>
        <w:t xml:space="preserve">en el contexto de una adecuada   </w:t>
      </w:r>
      <w:r w:rsidR="009B4710" w:rsidRPr="009A775F">
        <w:rPr>
          <w:rFonts w:ascii="Verdana" w:hAnsi="Verdana"/>
          <w:sz w:val="20"/>
          <w:szCs w:val="20"/>
          <w:lang w:val="es-ES"/>
        </w:rPr>
        <w:t>hemovigilancia.</w:t>
      </w:r>
    </w:p>
    <w:p w:rsidR="009B4710" w:rsidRPr="009A775F" w:rsidRDefault="009B4710" w:rsidP="00360753">
      <w:pPr>
        <w:spacing w:after="0" w:line="240" w:lineRule="auto"/>
        <w:jc w:val="both"/>
        <w:rPr>
          <w:rFonts w:ascii="Verdana" w:hAnsi="Verdana"/>
          <w:sz w:val="20"/>
          <w:szCs w:val="20"/>
          <w:lang w:val="es-ES"/>
        </w:rPr>
      </w:pPr>
    </w:p>
    <w:p w:rsidR="0093130E" w:rsidRPr="009A775F" w:rsidRDefault="00C258F2" w:rsidP="00360753">
      <w:pPr>
        <w:spacing w:after="0" w:line="240" w:lineRule="auto"/>
        <w:jc w:val="both"/>
        <w:rPr>
          <w:rFonts w:ascii="Verdana" w:hAnsi="Verdana"/>
          <w:b/>
          <w:sz w:val="20"/>
          <w:szCs w:val="20"/>
          <w:lang w:val="es-ES"/>
        </w:rPr>
      </w:pPr>
      <w:r w:rsidRPr="009A775F">
        <w:rPr>
          <w:rFonts w:ascii="Verdana" w:hAnsi="Verdana"/>
          <w:b/>
          <w:sz w:val="20"/>
          <w:szCs w:val="20"/>
          <w:lang w:val="es-ES"/>
        </w:rPr>
        <w:t xml:space="preserve">Material y </w:t>
      </w:r>
      <w:r w:rsidR="0093130E" w:rsidRPr="009A775F">
        <w:rPr>
          <w:rFonts w:ascii="Verdana" w:hAnsi="Verdana"/>
          <w:b/>
          <w:sz w:val="20"/>
          <w:szCs w:val="20"/>
          <w:lang w:val="es-ES"/>
        </w:rPr>
        <w:t>Método</w:t>
      </w:r>
    </w:p>
    <w:p w:rsidR="009B4710" w:rsidRPr="009A775F" w:rsidRDefault="009B4710" w:rsidP="00360753">
      <w:pPr>
        <w:spacing w:after="0" w:line="240" w:lineRule="auto"/>
        <w:jc w:val="both"/>
        <w:rPr>
          <w:rFonts w:ascii="Verdana" w:hAnsi="Verdana"/>
          <w:sz w:val="20"/>
          <w:szCs w:val="20"/>
          <w:lang w:val="es-ES"/>
        </w:rPr>
      </w:pPr>
    </w:p>
    <w:p w:rsidR="009F54D1" w:rsidRPr="009A775F" w:rsidRDefault="00E12293" w:rsidP="00360753">
      <w:pPr>
        <w:spacing w:after="0" w:line="240" w:lineRule="auto"/>
        <w:jc w:val="both"/>
        <w:rPr>
          <w:rFonts w:ascii="Verdana" w:hAnsi="Verdana"/>
          <w:sz w:val="20"/>
          <w:szCs w:val="20"/>
          <w:lang w:val="es-ES"/>
        </w:rPr>
      </w:pPr>
      <w:r w:rsidRPr="009A775F">
        <w:rPr>
          <w:rFonts w:ascii="Verdana" w:hAnsi="Verdana"/>
          <w:sz w:val="20"/>
          <w:szCs w:val="20"/>
          <w:lang w:val="es-ES"/>
        </w:rPr>
        <w:t>Se realizó un estudio descriptivo,</w:t>
      </w:r>
      <w:r w:rsidR="002955D5" w:rsidRPr="009A775F">
        <w:rPr>
          <w:rFonts w:ascii="Verdana" w:hAnsi="Verdana"/>
          <w:sz w:val="20"/>
          <w:szCs w:val="20"/>
          <w:lang w:val="es-ES"/>
        </w:rPr>
        <w:t xml:space="preserve"> </w:t>
      </w:r>
      <w:r w:rsidRPr="009A775F">
        <w:rPr>
          <w:rFonts w:ascii="Verdana" w:hAnsi="Verdana"/>
          <w:sz w:val="20"/>
          <w:szCs w:val="20"/>
          <w:lang w:val="es-ES"/>
        </w:rPr>
        <w:t>t</w:t>
      </w:r>
      <w:r w:rsidR="002955D5" w:rsidRPr="009A775F">
        <w:rPr>
          <w:rFonts w:ascii="Verdana" w:hAnsi="Verdana"/>
          <w:sz w:val="20"/>
          <w:szCs w:val="20"/>
          <w:lang w:val="es-ES"/>
        </w:rPr>
        <w:t>ransversal y retrospectivo en</w:t>
      </w:r>
      <w:r w:rsidRPr="009A775F">
        <w:rPr>
          <w:rFonts w:ascii="Verdana" w:hAnsi="Verdana"/>
          <w:sz w:val="20"/>
          <w:szCs w:val="20"/>
          <w:lang w:val="es-ES"/>
        </w:rPr>
        <w:t xml:space="preserve"> el Hospital León Cuervo Rubio</w:t>
      </w:r>
      <w:r w:rsidR="002955D5" w:rsidRPr="009A775F">
        <w:rPr>
          <w:rFonts w:ascii="Verdana" w:hAnsi="Verdana"/>
          <w:sz w:val="20"/>
          <w:szCs w:val="20"/>
          <w:lang w:val="es-ES"/>
        </w:rPr>
        <w:t xml:space="preserve"> </w:t>
      </w:r>
      <w:r w:rsidRPr="009A775F">
        <w:rPr>
          <w:rFonts w:ascii="Verdana" w:hAnsi="Verdana"/>
          <w:sz w:val="20"/>
          <w:szCs w:val="20"/>
          <w:lang w:val="es-ES"/>
        </w:rPr>
        <w:t xml:space="preserve"> donde se revisaron</w:t>
      </w:r>
      <w:r w:rsidR="002955D5" w:rsidRPr="009A775F">
        <w:rPr>
          <w:rFonts w:ascii="Verdana" w:hAnsi="Verdana"/>
          <w:sz w:val="20"/>
          <w:szCs w:val="20"/>
          <w:lang w:val="es-ES"/>
        </w:rPr>
        <w:t xml:space="preserve"> la solicitudes de transfusión por servicios, </w:t>
      </w:r>
      <w:r w:rsidR="00956612" w:rsidRPr="009A775F">
        <w:rPr>
          <w:rFonts w:ascii="Verdana" w:hAnsi="Verdana"/>
          <w:sz w:val="20"/>
          <w:szCs w:val="20"/>
          <w:lang w:val="es-ES"/>
        </w:rPr>
        <w:t xml:space="preserve"> los I</w:t>
      </w:r>
      <w:r w:rsidRPr="009A775F">
        <w:rPr>
          <w:rFonts w:ascii="Verdana" w:hAnsi="Verdana"/>
          <w:sz w:val="20"/>
          <w:szCs w:val="20"/>
          <w:lang w:val="es-ES"/>
        </w:rPr>
        <w:t xml:space="preserve">nformes mensuales </w:t>
      </w:r>
      <w:r w:rsidR="002955D5" w:rsidRPr="009A775F">
        <w:rPr>
          <w:rFonts w:ascii="Verdana" w:hAnsi="Verdana"/>
          <w:sz w:val="20"/>
          <w:szCs w:val="20"/>
          <w:lang w:val="es-ES"/>
        </w:rPr>
        <w:t>del C</w:t>
      </w:r>
      <w:r w:rsidRPr="009A775F">
        <w:rPr>
          <w:rFonts w:ascii="Verdana" w:hAnsi="Verdana"/>
          <w:sz w:val="20"/>
          <w:szCs w:val="20"/>
          <w:lang w:val="es-ES"/>
        </w:rPr>
        <w:t xml:space="preserve">omité </w:t>
      </w:r>
      <w:r w:rsidR="002955D5" w:rsidRPr="009A775F">
        <w:rPr>
          <w:rFonts w:ascii="Verdana" w:hAnsi="Verdana"/>
          <w:sz w:val="20"/>
          <w:szCs w:val="20"/>
          <w:lang w:val="es-ES"/>
        </w:rPr>
        <w:t>Transfusional Hospitalario</w:t>
      </w:r>
      <w:r w:rsidR="00956612" w:rsidRPr="009A775F">
        <w:rPr>
          <w:rFonts w:ascii="Verdana" w:hAnsi="Verdana"/>
          <w:sz w:val="20"/>
          <w:szCs w:val="20"/>
          <w:lang w:val="es-ES"/>
        </w:rPr>
        <w:t xml:space="preserve"> </w:t>
      </w:r>
      <w:r w:rsidR="002955D5" w:rsidRPr="009A775F">
        <w:rPr>
          <w:rFonts w:ascii="Verdana" w:hAnsi="Verdana"/>
          <w:sz w:val="20"/>
          <w:szCs w:val="20"/>
          <w:lang w:val="es-ES"/>
        </w:rPr>
        <w:t>de los miembros</w:t>
      </w:r>
      <w:r w:rsidRPr="009A775F">
        <w:rPr>
          <w:rFonts w:ascii="Verdana" w:hAnsi="Verdana"/>
          <w:sz w:val="20"/>
          <w:szCs w:val="20"/>
          <w:lang w:val="es-ES"/>
        </w:rPr>
        <w:t>, se tuvo en cuenta los componentes indicados por grupos de edades y sexo  así como los valores de hemoglobina y</w:t>
      </w:r>
      <w:r w:rsidR="00805658" w:rsidRPr="009A775F">
        <w:rPr>
          <w:rFonts w:ascii="Verdana" w:hAnsi="Verdana"/>
          <w:sz w:val="20"/>
          <w:szCs w:val="20"/>
          <w:lang w:val="es-ES"/>
        </w:rPr>
        <w:t xml:space="preserve"> el registro  de </w:t>
      </w:r>
      <w:r w:rsidRPr="009A775F">
        <w:rPr>
          <w:rFonts w:ascii="Verdana" w:hAnsi="Verdana"/>
          <w:sz w:val="20"/>
          <w:szCs w:val="20"/>
          <w:lang w:val="es-ES"/>
        </w:rPr>
        <w:t xml:space="preserve">reacciones adversas </w:t>
      </w:r>
      <w:r w:rsidR="00805658" w:rsidRPr="009A775F">
        <w:rPr>
          <w:rFonts w:ascii="Verdana" w:hAnsi="Verdana"/>
          <w:sz w:val="20"/>
          <w:szCs w:val="20"/>
          <w:lang w:val="es-ES"/>
        </w:rPr>
        <w:t>transfusionales</w:t>
      </w:r>
      <w:r w:rsidRPr="009A775F">
        <w:rPr>
          <w:rFonts w:ascii="Verdana" w:hAnsi="Verdana"/>
          <w:sz w:val="20"/>
          <w:szCs w:val="20"/>
          <w:lang w:val="es-ES"/>
        </w:rPr>
        <w:t xml:space="preserve"> por componente</w:t>
      </w:r>
      <w:r w:rsidR="00805658" w:rsidRPr="009A775F">
        <w:rPr>
          <w:rFonts w:ascii="Verdana" w:hAnsi="Verdana"/>
          <w:sz w:val="20"/>
          <w:szCs w:val="20"/>
          <w:lang w:val="es-ES"/>
        </w:rPr>
        <w:t>s</w:t>
      </w:r>
      <w:r w:rsidR="001718DE" w:rsidRPr="009A775F">
        <w:rPr>
          <w:rFonts w:ascii="Verdana" w:hAnsi="Verdana"/>
          <w:sz w:val="20"/>
          <w:szCs w:val="20"/>
          <w:lang w:val="es-ES"/>
        </w:rPr>
        <w:t xml:space="preserve"> en  cada uno de los servicios durante el </w:t>
      </w:r>
      <w:r w:rsidR="00FC06A4" w:rsidRPr="009A775F">
        <w:rPr>
          <w:rFonts w:ascii="Verdana" w:hAnsi="Verdana"/>
          <w:sz w:val="20"/>
          <w:szCs w:val="20"/>
          <w:lang w:val="es-ES"/>
        </w:rPr>
        <w:t>año 2015.</w:t>
      </w:r>
    </w:p>
    <w:p w:rsidR="009F54D1" w:rsidRPr="009A775F" w:rsidRDefault="009F54D1" w:rsidP="00360753">
      <w:pPr>
        <w:spacing w:after="0" w:line="240" w:lineRule="auto"/>
        <w:jc w:val="both"/>
        <w:rPr>
          <w:rFonts w:ascii="Verdana" w:hAnsi="Verdana"/>
          <w:sz w:val="20"/>
          <w:szCs w:val="20"/>
          <w:lang w:val="es-ES"/>
        </w:rPr>
      </w:pPr>
    </w:p>
    <w:p w:rsidR="009F54D1" w:rsidRPr="009A775F" w:rsidRDefault="009F54D1" w:rsidP="00360753">
      <w:pPr>
        <w:spacing w:after="0" w:line="240" w:lineRule="auto"/>
        <w:jc w:val="both"/>
        <w:rPr>
          <w:rFonts w:ascii="Verdana" w:hAnsi="Verdana"/>
          <w:sz w:val="20"/>
          <w:szCs w:val="20"/>
          <w:lang w:val="es-ES"/>
        </w:rPr>
      </w:pPr>
    </w:p>
    <w:p w:rsidR="00360753" w:rsidRPr="009A775F" w:rsidRDefault="0068434D" w:rsidP="00360753">
      <w:pPr>
        <w:spacing w:after="0" w:line="240" w:lineRule="auto"/>
        <w:jc w:val="both"/>
        <w:rPr>
          <w:rFonts w:ascii="Verdana" w:hAnsi="Verdana"/>
          <w:b/>
          <w:sz w:val="20"/>
          <w:szCs w:val="20"/>
          <w:lang w:val="es-ES"/>
        </w:rPr>
      </w:pPr>
      <w:r w:rsidRPr="009A775F">
        <w:rPr>
          <w:rFonts w:ascii="Verdana" w:hAnsi="Verdana"/>
          <w:b/>
          <w:sz w:val="20"/>
          <w:szCs w:val="20"/>
          <w:lang w:val="es-ES"/>
        </w:rPr>
        <w:t>Resultados</w:t>
      </w:r>
    </w:p>
    <w:p w:rsidR="009F54D1" w:rsidRPr="009A775F" w:rsidRDefault="009F54D1" w:rsidP="00360753">
      <w:pPr>
        <w:spacing w:after="0" w:line="240" w:lineRule="auto"/>
        <w:jc w:val="both"/>
        <w:rPr>
          <w:rFonts w:ascii="Verdana" w:hAnsi="Verdana"/>
          <w:sz w:val="20"/>
          <w:szCs w:val="20"/>
          <w:lang w:val="es-ES"/>
        </w:rPr>
      </w:pPr>
    </w:p>
    <w:p w:rsidR="00300A59" w:rsidRPr="009A775F" w:rsidRDefault="00300A59" w:rsidP="000E7089">
      <w:pPr>
        <w:autoSpaceDE w:val="0"/>
        <w:autoSpaceDN w:val="0"/>
        <w:adjustRightInd w:val="0"/>
        <w:spacing w:after="0" w:line="240" w:lineRule="auto"/>
        <w:rPr>
          <w:rFonts w:ascii="Verdana" w:hAnsi="Verdana" w:cs="Times New Roman"/>
          <w:sz w:val="20"/>
          <w:szCs w:val="20"/>
          <w:lang w:val="es-ES"/>
        </w:rPr>
      </w:pPr>
      <w:r w:rsidRPr="009A775F">
        <w:rPr>
          <w:rFonts w:ascii="Verdana" w:hAnsi="Verdana" w:cs="Times New Roman"/>
          <w:sz w:val="20"/>
          <w:szCs w:val="20"/>
          <w:lang w:val="es-ES"/>
        </w:rPr>
        <w:t xml:space="preserve">Las transfusiones de sangre y los </w:t>
      </w:r>
      <w:proofErr w:type="spellStart"/>
      <w:r w:rsidRPr="009A775F">
        <w:rPr>
          <w:rFonts w:ascii="Verdana" w:hAnsi="Verdana" w:cs="Times New Roman"/>
          <w:sz w:val="20"/>
          <w:szCs w:val="20"/>
          <w:lang w:val="es-ES"/>
        </w:rPr>
        <w:t>hemocomponentes</w:t>
      </w:r>
      <w:proofErr w:type="spellEnd"/>
      <w:r w:rsidRPr="009A775F">
        <w:rPr>
          <w:rFonts w:ascii="Verdana" w:hAnsi="Verdana" w:cs="Times New Roman"/>
          <w:sz w:val="20"/>
          <w:szCs w:val="20"/>
          <w:lang w:val="es-ES"/>
        </w:rPr>
        <w:t xml:space="preserve"> seguros es un servicio esencial para la</w:t>
      </w:r>
      <w:r w:rsidR="009F1FC7" w:rsidRPr="009A775F">
        <w:rPr>
          <w:rFonts w:ascii="Verdana" w:hAnsi="Verdana" w:cs="Times New Roman"/>
          <w:sz w:val="20"/>
          <w:szCs w:val="20"/>
          <w:lang w:val="es-ES"/>
        </w:rPr>
        <w:t xml:space="preserve"> </w:t>
      </w:r>
      <w:r w:rsidRPr="009A775F">
        <w:rPr>
          <w:rFonts w:ascii="Verdana" w:hAnsi="Verdana" w:cs="Times New Roman"/>
          <w:sz w:val="20"/>
          <w:szCs w:val="20"/>
          <w:lang w:val="es-ES"/>
        </w:rPr>
        <w:t xml:space="preserve">cobertura universal de salud ya que contribuye a salvar millones de vidas y a mejorar </w:t>
      </w:r>
      <w:r w:rsidR="006406C7" w:rsidRPr="009A775F">
        <w:rPr>
          <w:rFonts w:ascii="Verdana" w:hAnsi="Verdana" w:cs="Times New Roman"/>
          <w:sz w:val="20"/>
          <w:szCs w:val="20"/>
          <w:lang w:val="es-ES"/>
        </w:rPr>
        <w:t>la salud</w:t>
      </w:r>
      <w:r w:rsidRPr="009A775F">
        <w:rPr>
          <w:rFonts w:ascii="Verdana" w:hAnsi="Verdana" w:cs="Times New Roman"/>
          <w:sz w:val="20"/>
          <w:szCs w:val="20"/>
          <w:lang w:val="es-ES"/>
        </w:rPr>
        <w:t xml:space="preserve"> de las personas que los necesitan.</w:t>
      </w:r>
      <w:r w:rsidR="00E15AF7" w:rsidRPr="009A775F">
        <w:rPr>
          <w:rFonts w:ascii="Verdana" w:hAnsi="Verdana" w:cs="Times New Roman"/>
          <w:sz w:val="20"/>
          <w:szCs w:val="20"/>
          <w:vertAlign w:val="superscript"/>
          <w:lang w:val="es-ES"/>
        </w:rPr>
        <w:t xml:space="preserve"> </w:t>
      </w:r>
      <w:r w:rsidR="004C62A1" w:rsidRPr="009A775F">
        <w:rPr>
          <w:rFonts w:ascii="Verdana" w:hAnsi="Verdana" w:cs="Times New Roman"/>
          <w:sz w:val="20"/>
          <w:szCs w:val="20"/>
          <w:vertAlign w:val="superscript"/>
          <w:lang w:val="es-ES"/>
        </w:rPr>
        <w:t>7</w:t>
      </w:r>
    </w:p>
    <w:p w:rsidR="009F1FC7" w:rsidRPr="009A775F" w:rsidRDefault="009F1FC7" w:rsidP="000E7089">
      <w:pPr>
        <w:autoSpaceDE w:val="0"/>
        <w:autoSpaceDN w:val="0"/>
        <w:adjustRightInd w:val="0"/>
        <w:spacing w:after="0" w:line="240" w:lineRule="auto"/>
        <w:rPr>
          <w:rFonts w:ascii="Verdana" w:hAnsi="Verdana" w:cs="Times New Roman"/>
          <w:sz w:val="20"/>
          <w:szCs w:val="20"/>
          <w:lang w:val="es-ES"/>
        </w:rPr>
      </w:pPr>
    </w:p>
    <w:p w:rsidR="00355A99" w:rsidRPr="009A775F" w:rsidRDefault="00355A99" w:rsidP="00360753">
      <w:pPr>
        <w:spacing w:after="0" w:line="240" w:lineRule="auto"/>
        <w:jc w:val="both"/>
        <w:rPr>
          <w:rFonts w:ascii="Verdana" w:hAnsi="Verdana"/>
          <w:b/>
          <w:sz w:val="20"/>
          <w:szCs w:val="20"/>
          <w:lang w:val="es-ES"/>
        </w:rPr>
      </w:pPr>
      <w:r w:rsidRPr="009A775F">
        <w:rPr>
          <w:rFonts w:ascii="Verdana" w:hAnsi="Verdana"/>
          <w:b/>
          <w:sz w:val="20"/>
          <w:szCs w:val="20"/>
          <w:lang w:val="es-ES"/>
        </w:rPr>
        <w:t xml:space="preserve">Tabla 1. </w:t>
      </w:r>
      <w:r w:rsidR="00A24332" w:rsidRPr="009A775F">
        <w:rPr>
          <w:rFonts w:ascii="Verdana" w:hAnsi="Verdana"/>
          <w:b/>
          <w:sz w:val="20"/>
          <w:szCs w:val="20"/>
          <w:lang w:val="es-ES"/>
        </w:rPr>
        <w:t>Hemoterapia</w:t>
      </w:r>
      <w:r w:rsidR="00FC06A4" w:rsidRPr="009A775F">
        <w:rPr>
          <w:rFonts w:ascii="Verdana" w:hAnsi="Verdana"/>
          <w:b/>
          <w:sz w:val="20"/>
          <w:szCs w:val="20"/>
          <w:lang w:val="es-ES"/>
        </w:rPr>
        <w:t xml:space="preserve"> e ingresos hospitalarios 2014-2015.</w:t>
      </w:r>
    </w:p>
    <w:p w:rsidR="00472D5B" w:rsidRPr="009A775F" w:rsidRDefault="00472D5B" w:rsidP="00360753">
      <w:pPr>
        <w:spacing w:after="0" w:line="240" w:lineRule="auto"/>
        <w:jc w:val="both"/>
        <w:rPr>
          <w:rFonts w:ascii="Verdana" w:hAnsi="Verdana"/>
          <w:b/>
          <w:sz w:val="20"/>
          <w:szCs w:val="20"/>
          <w:lang w:val="es-ES"/>
        </w:rPr>
      </w:pPr>
    </w:p>
    <w:tbl>
      <w:tblPr>
        <w:tblW w:w="7988" w:type="dxa"/>
        <w:tblCellMar>
          <w:left w:w="0" w:type="dxa"/>
          <w:right w:w="0" w:type="dxa"/>
        </w:tblCellMar>
        <w:tblLook w:val="0600" w:firstRow="0" w:lastRow="0" w:firstColumn="0" w:lastColumn="0" w:noHBand="1" w:noVBand="1"/>
      </w:tblPr>
      <w:tblGrid>
        <w:gridCol w:w="1595"/>
        <w:gridCol w:w="291"/>
        <w:gridCol w:w="2077"/>
        <w:gridCol w:w="2075"/>
        <w:gridCol w:w="1950"/>
      </w:tblGrid>
      <w:tr w:rsidR="008A0529" w:rsidRPr="009A775F" w:rsidTr="00355A99">
        <w:trPr>
          <w:trHeight w:val="616"/>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ED7E1A" w:rsidRPr="009A775F" w:rsidRDefault="00ED7E1A" w:rsidP="00355A99">
            <w:pPr>
              <w:kinsoku w:val="0"/>
              <w:overflowPunct w:val="0"/>
              <w:spacing w:after="0" w:line="240" w:lineRule="auto"/>
              <w:jc w:val="center"/>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Años</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ED7E1A" w:rsidRPr="009A775F" w:rsidRDefault="00ED7E1A" w:rsidP="00ED7E1A">
            <w:pPr>
              <w:spacing w:after="0" w:line="240" w:lineRule="auto"/>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Pacientes</w:t>
            </w:r>
          </w:p>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transfundidos</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Unidades</w:t>
            </w:r>
          </w:p>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transfundidas</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Ingresos</w:t>
            </w:r>
          </w:p>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hospitalarios</w:t>
            </w:r>
          </w:p>
        </w:tc>
      </w:tr>
      <w:tr w:rsidR="008A0529" w:rsidRPr="009A775F" w:rsidTr="00355A99">
        <w:trPr>
          <w:trHeight w:val="495"/>
        </w:trPr>
        <w:tc>
          <w:tcPr>
            <w:tcW w:w="0" w:type="auto"/>
            <w:tcBorders>
              <w:top w:val="nil"/>
              <w:left w:val="nil"/>
              <w:right w:val="nil"/>
            </w:tcBorders>
            <w:shd w:val="clear" w:color="auto" w:fill="auto"/>
            <w:tcMar>
              <w:top w:w="15" w:type="dxa"/>
              <w:left w:w="108" w:type="dxa"/>
              <w:bottom w:w="0" w:type="dxa"/>
              <w:right w:w="108" w:type="dxa"/>
            </w:tcMar>
            <w:hideMark/>
          </w:tcPr>
          <w:p w:rsidR="00ED7E1A" w:rsidRPr="009A775F" w:rsidRDefault="002404B9"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r w:rsidR="00ED7E1A" w:rsidRPr="009A775F">
              <w:rPr>
                <w:rFonts w:ascii="Verdana" w:eastAsia="Times New Roman" w:hAnsi="Verdana" w:cs="Times New Roman"/>
                <w:kern w:val="24"/>
                <w:sz w:val="20"/>
                <w:szCs w:val="20"/>
                <w:lang w:val="es-ES" w:eastAsia="es-ES"/>
              </w:rPr>
              <w:t>201</w:t>
            </w:r>
            <w:r w:rsidR="00ED7E1A" w:rsidRPr="009A775F">
              <w:rPr>
                <w:rFonts w:ascii="Verdana" w:eastAsia="Times New Roman" w:hAnsi="Verdana" w:cs="Times New Roman"/>
                <w:kern w:val="24"/>
                <w:sz w:val="20"/>
                <w:szCs w:val="20"/>
                <w:lang w:eastAsia="es-ES"/>
              </w:rPr>
              <w:t>4</w:t>
            </w:r>
          </w:p>
        </w:tc>
        <w:tc>
          <w:tcPr>
            <w:tcW w:w="0" w:type="auto"/>
            <w:tcBorders>
              <w:top w:val="nil"/>
              <w:left w:val="nil"/>
              <w:right w:val="nil"/>
            </w:tcBorders>
            <w:shd w:val="clear" w:color="auto" w:fill="auto"/>
            <w:tcMar>
              <w:top w:w="15" w:type="dxa"/>
              <w:left w:w="108" w:type="dxa"/>
              <w:bottom w:w="0" w:type="dxa"/>
              <w:right w:w="108" w:type="dxa"/>
            </w:tcMar>
            <w:hideMark/>
          </w:tcPr>
          <w:p w:rsidR="00ED7E1A" w:rsidRPr="009A775F" w:rsidRDefault="00ED7E1A" w:rsidP="00ED7E1A">
            <w:pPr>
              <w:spacing w:after="0" w:line="240" w:lineRule="auto"/>
              <w:rPr>
                <w:rFonts w:ascii="Verdana" w:eastAsia="Times New Roman" w:hAnsi="Verdana" w:cs="Arial"/>
                <w:sz w:val="20"/>
                <w:szCs w:val="20"/>
                <w:lang w:val="es-ES" w:eastAsia="es-ES"/>
              </w:rPr>
            </w:pPr>
          </w:p>
        </w:tc>
        <w:tc>
          <w:tcPr>
            <w:tcW w:w="0" w:type="auto"/>
            <w:tcBorders>
              <w:top w:val="nil"/>
              <w:left w:val="nil"/>
              <w:right w:val="nil"/>
            </w:tcBorders>
            <w:shd w:val="clear" w:color="auto" w:fill="auto"/>
            <w:tcMar>
              <w:top w:w="15" w:type="dxa"/>
              <w:left w:w="108" w:type="dxa"/>
              <w:bottom w:w="0" w:type="dxa"/>
              <w:right w:w="108" w:type="dxa"/>
            </w:tcMar>
            <w:hideMark/>
          </w:tcPr>
          <w:p w:rsidR="00ED7E1A" w:rsidRPr="009A775F" w:rsidRDefault="006406C7" w:rsidP="00ED7E1A">
            <w:pPr>
              <w:spacing w:after="0" w:line="240" w:lineRule="auto"/>
              <w:rPr>
                <w:rFonts w:ascii="Verdana" w:eastAsia="Times New Roman" w:hAnsi="Verdana" w:cs="Arial"/>
                <w:sz w:val="20"/>
                <w:szCs w:val="20"/>
                <w:lang w:eastAsia="es-ES"/>
              </w:rPr>
            </w:pPr>
            <w:r w:rsidRPr="009A775F">
              <w:rPr>
                <w:rFonts w:ascii="Verdana" w:eastAsia="Times New Roman" w:hAnsi="Verdana" w:cs="Arial"/>
                <w:sz w:val="20"/>
                <w:szCs w:val="20"/>
                <w:lang w:eastAsia="es-ES"/>
              </w:rPr>
              <w:t>1965</w:t>
            </w:r>
          </w:p>
        </w:tc>
        <w:tc>
          <w:tcPr>
            <w:tcW w:w="0" w:type="auto"/>
            <w:tcBorders>
              <w:top w:val="nil"/>
              <w:left w:val="nil"/>
              <w:right w:val="nil"/>
            </w:tcBorders>
            <w:shd w:val="clear" w:color="auto" w:fill="auto"/>
            <w:tcMar>
              <w:top w:w="15" w:type="dxa"/>
              <w:left w:w="108" w:type="dxa"/>
              <w:bottom w:w="0" w:type="dxa"/>
              <w:right w:w="108" w:type="dxa"/>
            </w:tcMar>
            <w:hideMark/>
          </w:tcPr>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PR" w:eastAsia="es-ES"/>
              </w:rPr>
              <w:t>3869</w:t>
            </w:r>
          </w:p>
        </w:tc>
        <w:tc>
          <w:tcPr>
            <w:tcW w:w="0" w:type="auto"/>
            <w:tcBorders>
              <w:top w:val="nil"/>
              <w:left w:val="nil"/>
              <w:right w:val="nil"/>
            </w:tcBorders>
            <w:shd w:val="clear" w:color="auto" w:fill="auto"/>
            <w:tcMar>
              <w:top w:w="15" w:type="dxa"/>
              <w:left w:w="108" w:type="dxa"/>
              <w:bottom w:w="0" w:type="dxa"/>
              <w:right w:w="108" w:type="dxa"/>
            </w:tcMar>
            <w:hideMark/>
          </w:tcPr>
          <w:p w:rsidR="00ED7E1A" w:rsidRPr="009A775F" w:rsidRDefault="006406C7" w:rsidP="00ED7E1A">
            <w:pPr>
              <w:spacing w:after="0" w:line="240" w:lineRule="auto"/>
              <w:rPr>
                <w:rFonts w:ascii="Verdana" w:eastAsia="Times New Roman" w:hAnsi="Verdana" w:cs="Arial"/>
                <w:sz w:val="20"/>
                <w:szCs w:val="20"/>
                <w:lang w:eastAsia="es-ES"/>
              </w:rPr>
            </w:pPr>
            <w:r w:rsidRPr="009A775F">
              <w:rPr>
                <w:rFonts w:ascii="Verdana" w:eastAsia="Times New Roman" w:hAnsi="Verdana" w:cs="Arial"/>
                <w:sz w:val="20"/>
                <w:szCs w:val="20"/>
                <w:lang w:eastAsia="es-ES"/>
              </w:rPr>
              <w:t>11428</w:t>
            </w:r>
          </w:p>
        </w:tc>
      </w:tr>
      <w:tr w:rsidR="008A0529" w:rsidRPr="009A775F" w:rsidTr="002404B9">
        <w:trPr>
          <w:trHeight w:val="277"/>
        </w:trPr>
        <w:tc>
          <w:tcPr>
            <w:tcW w:w="0" w:type="auto"/>
            <w:tcBorders>
              <w:top w:val="nil"/>
              <w:left w:val="nil"/>
              <w:bottom w:val="nil"/>
              <w:right w:val="nil"/>
            </w:tcBorders>
            <w:shd w:val="clear" w:color="auto" w:fill="auto"/>
            <w:tcMar>
              <w:top w:w="15" w:type="dxa"/>
              <w:left w:w="108" w:type="dxa"/>
              <w:bottom w:w="0" w:type="dxa"/>
              <w:right w:w="108" w:type="dxa"/>
            </w:tcMar>
            <w:hideMark/>
          </w:tcPr>
          <w:p w:rsidR="00ED7E1A" w:rsidRPr="009A775F" w:rsidRDefault="002404B9"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r w:rsidR="00ED7E1A" w:rsidRPr="009A775F">
              <w:rPr>
                <w:rFonts w:ascii="Verdana" w:eastAsia="Times New Roman" w:hAnsi="Verdana" w:cs="Times New Roman"/>
                <w:kern w:val="24"/>
                <w:sz w:val="20"/>
                <w:szCs w:val="20"/>
                <w:lang w:val="es-ES" w:eastAsia="es-ES"/>
              </w:rPr>
              <w:t>201</w:t>
            </w:r>
            <w:r w:rsidR="00ED7E1A" w:rsidRPr="009A775F">
              <w:rPr>
                <w:rFonts w:ascii="Verdana" w:eastAsia="Times New Roman" w:hAnsi="Verdana" w:cs="Times New Roman"/>
                <w:kern w:val="24"/>
                <w:sz w:val="20"/>
                <w:szCs w:val="20"/>
                <w:lang w:eastAsia="es-ES"/>
              </w:rPr>
              <w:t>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ED7E1A" w:rsidRPr="009A775F" w:rsidRDefault="00ED7E1A" w:rsidP="00ED7E1A">
            <w:pPr>
              <w:spacing w:after="0" w:line="240" w:lineRule="auto"/>
              <w:rPr>
                <w:rFonts w:ascii="Verdana" w:eastAsia="Times New Roman" w:hAnsi="Verdana" w:cs="Arial"/>
                <w:sz w:val="20"/>
                <w:szCs w:val="20"/>
                <w:lang w:val="es-ES" w:eastAsia="es-ES"/>
              </w:rPr>
            </w:pPr>
          </w:p>
        </w:tc>
        <w:tc>
          <w:tcPr>
            <w:tcW w:w="0" w:type="auto"/>
            <w:tcBorders>
              <w:top w:val="nil"/>
              <w:left w:val="nil"/>
              <w:bottom w:val="nil"/>
              <w:right w:val="nil"/>
            </w:tcBorders>
            <w:shd w:val="clear" w:color="auto" w:fill="auto"/>
            <w:tcMar>
              <w:top w:w="15" w:type="dxa"/>
              <w:left w:w="108" w:type="dxa"/>
              <w:bottom w:w="0" w:type="dxa"/>
              <w:right w:w="108" w:type="dxa"/>
            </w:tcMar>
            <w:hideMark/>
          </w:tcPr>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1626</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ED7E1A" w:rsidRPr="009A775F" w:rsidRDefault="00ED7E1A" w:rsidP="00ED7E1A">
            <w:pPr>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2825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ED7E1A" w:rsidRPr="009A775F" w:rsidRDefault="006406C7" w:rsidP="00ED7E1A">
            <w:pPr>
              <w:spacing w:after="0" w:line="240" w:lineRule="auto"/>
              <w:rPr>
                <w:rFonts w:ascii="Verdana" w:eastAsia="Times New Roman" w:hAnsi="Verdana" w:cs="Arial"/>
                <w:sz w:val="20"/>
                <w:szCs w:val="20"/>
                <w:lang w:eastAsia="es-ES"/>
              </w:rPr>
            </w:pPr>
            <w:r w:rsidRPr="009A775F">
              <w:rPr>
                <w:rFonts w:ascii="Verdana" w:eastAsia="Times New Roman" w:hAnsi="Verdana" w:cs="Arial"/>
                <w:sz w:val="20"/>
                <w:szCs w:val="20"/>
                <w:lang w:eastAsia="es-ES"/>
              </w:rPr>
              <w:t>12732</w:t>
            </w:r>
          </w:p>
        </w:tc>
      </w:tr>
      <w:tr w:rsidR="008A0529" w:rsidRPr="009A775F" w:rsidTr="00355A99">
        <w:trPr>
          <w:trHeight w:val="277"/>
        </w:trPr>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2404B9" w:rsidRPr="009A775F" w:rsidRDefault="002404B9" w:rsidP="00ED7E1A">
            <w:pPr>
              <w:kinsoku w:val="0"/>
              <w:overflowPunct w:val="0"/>
              <w:spacing w:after="0" w:line="240" w:lineRule="auto"/>
              <w:textAlignment w:val="baseline"/>
              <w:rPr>
                <w:rFonts w:ascii="Verdana" w:eastAsia="Times New Roman" w:hAnsi="Verdana" w:cs="Times New Roman"/>
                <w:kern w:val="24"/>
                <w:sz w:val="20"/>
                <w:szCs w:val="20"/>
                <w:lang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2404B9" w:rsidRPr="009A775F" w:rsidRDefault="002404B9" w:rsidP="00ED7E1A">
            <w:pPr>
              <w:spacing w:after="0" w:line="240" w:lineRule="auto"/>
              <w:rPr>
                <w:rFonts w:ascii="Verdana" w:eastAsia="Times New Roman" w:hAnsi="Verdana" w:cs="Arial"/>
                <w:sz w:val="20"/>
                <w:szCs w:val="20"/>
                <w:lang w:val="es-ES"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2404B9" w:rsidRPr="009A775F" w:rsidRDefault="002404B9" w:rsidP="00ED7E1A">
            <w:pPr>
              <w:kinsoku w:val="0"/>
              <w:overflowPunct w:val="0"/>
              <w:spacing w:after="0" w:line="240" w:lineRule="auto"/>
              <w:textAlignment w:val="baseline"/>
              <w:rPr>
                <w:rFonts w:ascii="Verdana" w:eastAsia="Times New Roman" w:hAnsi="Verdana" w:cs="Times New Roman"/>
                <w:kern w:val="24"/>
                <w:sz w:val="20"/>
                <w:szCs w:val="20"/>
                <w:lang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2404B9" w:rsidRPr="009A775F" w:rsidRDefault="002404B9" w:rsidP="00ED7E1A">
            <w:pPr>
              <w:kinsoku w:val="0"/>
              <w:overflowPunct w:val="0"/>
              <w:spacing w:after="0" w:line="240" w:lineRule="auto"/>
              <w:textAlignment w:val="baseline"/>
              <w:rPr>
                <w:rFonts w:ascii="Verdana" w:eastAsia="Times New Roman" w:hAnsi="Verdana" w:cs="Times New Roman"/>
                <w:kern w:val="24"/>
                <w:sz w:val="20"/>
                <w:szCs w:val="20"/>
                <w:lang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2404B9" w:rsidRPr="009A775F" w:rsidRDefault="002404B9" w:rsidP="00ED7E1A">
            <w:pPr>
              <w:spacing w:after="0" w:line="240" w:lineRule="auto"/>
              <w:rPr>
                <w:rFonts w:ascii="Verdana" w:eastAsia="Times New Roman" w:hAnsi="Verdana" w:cs="Arial"/>
                <w:sz w:val="20"/>
                <w:szCs w:val="20"/>
                <w:lang w:eastAsia="es-ES"/>
              </w:rPr>
            </w:pPr>
          </w:p>
        </w:tc>
      </w:tr>
    </w:tbl>
    <w:p w:rsidR="002404B9" w:rsidRPr="009A775F" w:rsidRDefault="00956612" w:rsidP="00360753">
      <w:pPr>
        <w:spacing w:after="0" w:line="240" w:lineRule="auto"/>
        <w:jc w:val="both"/>
        <w:rPr>
          <w:rFonts w:ascii="Verdana" w:hAnsi="Verdana"/>
          <w:sz w:val="20"/>
          <w:szCs w:val="20"/>
          <w:lang w:val="es-ES"/>
        </w:rPr>
      </w:pPr>
      <w:r w:rsidRPr="009A775F">
        <w:rPr>
          <w:rFonts w:ascii="Verdana" w:hAnsi="Verdana"/>
          <w:sz w:val="20"/>
          <w:szCs w:val="20"/>
          <w:lang w:val="es-ES"/>
        </w:rPr>
        <w:t>Fuente: Informes del Comité Transfusional Hospitalario</w:t>
      </w:r>
    </w:p>
    <w:p w:rsidR="00956612" w:rsidRPr="009A775F" w:rsidRDefault="00956612" w:rsidP="00360753">
      <w:pPr>
        <w:spacing w:after="0" w:line="240" w:lineRule="auto"/>
        <w:jc w:val="both"/>
        <w:rPr>
          <w:rFonts w:ascii="Verdana" w:hAnsi="Verdana"/>
          <w:sz w:val="20"/>
          <w:szCs w:val="20"/>
          <w:lang w:val="es-ES"/>
        </w:rPr>
      </w:pPr>
    </w:p>
    <w:p w:rsidR="00CC5867" w:rsidRPr="009A775F" w:rsidRDefault="00956612" w:rsidP="00360753">
      <w:pPr>
        <w:spacing w:after="0" w:line="240" w:lineRule="auto"/>
        <w:jc w:val="both"/>
        <w:rPr>
          <w:rFonts w:ascii="Verdana" w:hAnsi="Verdana"/>
          <w:sz w:val="20"/>
          <w:szCs w:val="20"/>
          <w:lang w:val="es-ES"/>
        </w:rPr>
      </w:pPr>
      <w:r w:rsidRPr="009A775F">
        <w:rPr>
          <w:rFonts w:ascii="Verdana" w:hAnsi="Verdana"/>
          <w:sz w:val="20"/>
          <w:szCs w:val="20"/>
          <w:lang w:val="es-ES"/>
        </w:rPr>
        <w:t>La</w:t>
      </w:r>
      <w:r w:rsidR="00355A99" w:rsidRPr="009A775F">
        <w:rPr>
          <w:rFonts w:ascii="Verdana" w:hAnsi="Verdana"/>
          <w:sz w:val="20"/>
          <w:szCs w:val="20"/>
          <w:lang w:val="es-ES"/>
        </w:rPr>
        <w:t xml:space="preserve"> tabla 1 muestra como </w:t>
      </w:r>
      <w:r w:rsidR="002404B9" w:rsidRPr="009A775F">
        <w:rPr>
          <w:rFonts w:ascii="Verdana" w:hAnsi="Verdana"/>
          <w:sz w:val="20"/>
          <w:szCs w:val="20"/>
          <w:lang w:val="es-ES"/>
        </w:rPr>
        <w:t>a pesar de existir un mayor número de ingresos en el año 2015 con respecto al 2014 (N=1304)</w:t>
      </w:r>
      <w:r w:rsidRPr="009A775F">
        <w:rPr>
          <w:rFonts w:ascii="Verdana" w:hAnsi="Verdana"/>
          <w:sz w:val="20"/>
          <w:szCs w:val="20"/>
          <w:lang w:val="es-ES"/>
        </w:rPr>
        <w:t>,</w:t>
      </w:r>
      <w:r w:rsidR="002404B9" w:rsidRPr="009A775F">
        <w:rPr>
          <w:rFonts w:ascii="Verdana" w:hAnsi="Verdana"/>
          <w:sz w:val="20"/>
          <w:szCs w:val="20"/>
          <w:lang w:val="es-ES"/>
        </w:rPr>
        <w:t xml:space="preserve"> el total de pacientes transfundidos fue menor (N=339) </w:t>
      </w:r>
      <w:r w:rsidRPr="009A775F">
        <w:rPr>
          <w:rFonts w:ascii="Verdana" w:hAnsi="Verdana"/>
          <w:sz w:val="20"/>
          <w:szCs w:val="20"/>
          <w:lang w:val="es-ES"/>
        </w:rPr>
        <w:t>y a su vez menor la cantidad de unidades transfundidas haciendo un total de (N =1044).</w:t>
      </w:r>
      <w:r w:rsidR="009C3AA6" w:rsidRPr="009A775F">
        <w:rPr>
          <w:rFonts w:ascii="Verdana" w:hAnsi="Verdana"/>
          <w:sz w:val="20"/>
          <w:szCs w:val="20"/>
          <w:lang w:val="es-ES"/>
        </w:rPr>
        <w:t xml:space="preserve"> </w:t>
      </w:r>
      <w:r w:rsidRPr="009A775F">
        <w:rPr>
          <w:rFonts w:ascii="Verdana" w:hAnsi="Verdana"/>
          <w:sz w:val="20"/>
          <w:szCs w:val="20"/>
          <w:lang w:val="es-ES"/>
        </w:rPr>
        <w:t>Representando</w:t>
      </w:r>
      <w:r w:rsidR="00257627" w:rsidRPr="009A775F">
        <w:rPr>
          <w:rFonts w:ascii="Verdana" w:hAnsi="Verdana"/>
          <w:sz w:val="20"/>
          <w:szCs w:val="20"/>
          <w:lang w:val="es-ES"/>
        </w:rPr>
        <w:t xml:space="preserve"> </w:t>
      </w:r>
      <w:r w:rsidRPr="009A775F">
        <w:rPr>
          <w:rFonts w:ascii="Verdana" w:hAnsi="Verdana"/>
          <w:sz w:val="20"/>
          <w:szCs w:val="20"/>
          <w:lang w:val="es-ES"/>
        </w:rPr>
        <w:t xml:space="preserve">así en el año 2014, el 17,1% </w:t>
      </w:r>
      <w:r w:rsidR="00257627" w:rsidRPr="009A775F">
        <w:rPr>
          <w:rFonts w:ascii="Verdana" w:hAnsi="Verdana"/>
          <w:sz w:val="20"/>
          <w:szCs w:val="20"/>
          <w:lang w:val="es-ES"/>
        </w:rPr>
        <w:t xml:space="preserve">los pacientes </w:t>
      </w:r>
      <w:r w:rsidR="006406C7" w:rsidRPr="009A775F">
        <w:rPr>
          <w:rFonts w:ascii="Verdana" w:hAnsi="Verdana"/>
          <w:sz w:val="20"/>
          <w:szCs w:val="20"/>
          <w:lang w:val="es-ES"/>
        </w:rPr>
        <w:t xml:space="preserve">transfundidos </w:t>
      </w:r>
      <w:r w:rsidR="009C3AA6" w:rsidRPr="009A775F">
        <w:rPr>
          <w:rFonts w:ascii="Verdana" w:hAnsi="Verdana"/>
          <w:sz w:val="20"/>
          <w:szCs w:val="20"/>
          <w:lang w:val="es-ES"/>
        </w:rPr>
        <w:t xml:space="preserve">del total de ingresados </w:t>
      </w:r>
      <w:r w:rsidRPr="009A775F">
        <w:rPr>
          <w:rFonts w:ascii="Verdana" w:hAnsi="Verdana"/>
          <w:sz w:val="20"/>
          <w:szCs w:val="20"/>
          <w:lang w:val="es-ES"/>
        </w:rPr>
        <w:t>y 12,7% en el año 2015 respectivamente.</w:t>
      </w:r>
    </w:p>
    <w:p w:rsidR="00956612" w:rsidRPr="009A775F" w:rsidRDefault="00956612" w:rsidP="00360753">
      <w:pPr>
        <w:spacing w:after="0" w:line="240" w:lineRule="auto"/>
        <w:jc w:val="both"/>
        <w:rPr>
          <w:rFonts w:ascii="Verdana" w:hAnsi="Verdana"/>
          <w:sz w:val="20"/>
          <w:szCs w:val="20"/>
          <w:lang w:val="es-ES"/>
        </w:rPr>
      </w:pPr>
    </w:p>
    <w:p w:rsidR="0055600E" w:rsidRPr="009A775F" w:rsidRDefault="0055600E" w:rsidP="0055600E">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Del total de pacientes que se transfundieron el en 2015 fueron del sexo femenino 758 mientras que del masculino 868, representando 47,9% y 53,3 % respectivamente.</w:t>
      </w:r>
    </w:p>
    <w:p w:rsidR="0055600E" w:rsidRPr="009A775F" w:rsidRDefault="0055600E" w:rsidP="0055600E">
      <w:pPr>
        <w:autoSpaceDE w:val="0"/>
        <w:autoSpaceDN w:val="0"/>
        <w:adjustRightInd w:val="0"/>
        <w:spacing w:after="0" w:line="240" w:lineRule="auto"/>
        <w:jc w:val="both"/>
        <w:rPr>
          <w:rFonts w:ascii="Verdana" w:hAnsi="Verdana" w:cs="Arial"/>
          <w:sz w:val="20"/>
          <w:szCs w:val="20"/>
          <w:lang w:val="es-ES"/>
        </w:rPr>
      </w:pPr>
    </w:p>
    <w:p w:rsidR="0055600E" w:rsidRPr="009A775F" w:rsidRDefault="0055600E" w:rsidP="0055600E">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Tabla 2. Pacientes transfundidos por grupos de edades en el HLCR 2015.</w:t>
      </w:r>
    </w:p>
    <w:p w:rsidR="0055600E" w:rsidRPr="009A775F" w:rsidRDefault="0055600E" w:rsidP="0055600E">
      <w:pPr>
        <w:autoSpaceDE w:val="0"/>
        <w:autoSpaceDN w:val="0"/>
        <w:adjustRightInd w:val="0"/>
        <w:spacing w:after="0" w:line="240" w:lineRule="auto"/>
        <w:jc w:val="both"/>
        <w:rPr>
          <w:rFonts w:ascii="Verdana" w:hAnsi="Verdana" w:cs="Arial"/>
          <w:sz w:val="20"/>
          <w:szCs w:val="20"/>
          <w:lang w:val="es-ES"/>
        </w:rPr>
      </w:pPr>
    </w:p>
    <w:tbl>
      <w:tblPr>
        <w:tblW w:w="9842" w:type="dxa"/>
        <w:shd w:val="clear" w:color="auto" w:fill="FFFFFF" w:themeFill="background1"/>
        <w:tblCellMar>
          <w:left w:w="0" w:type="dxa"/>
          <w:right w:w="0" w:type="dxa"/>
        </w:tblCellMar>
        <w:tblLook w:val="0420" w:firstRow="1" w:lastRow="0" w:firstColumn="0" w:lastColumn="0" w:noHBand="0" w:noVBand="1"/>
      </w:tblPr>
      <w:tblGrid>
        <w:gridCol w:w="1530"/>
        <w:gridCol w:w="1635"/>
        <w:gridCol w:w="1409"/>
        <w:gridCol w:w="1220"/>
        <w:gridCol w:w="1084"/>
        <w:gridCol w:w="2964"/>
      </w:tblGrid>
      <w:tr w:rsidR="008A0529" w:rsidRPr="009A775F" w:rsidTr="008A0529">
        <w:trPr>
          <w:trHeight w:val="632"/>
        </w:trPr>
        <w:tc>
          <w:tcPr>
            <w:tcW w:w="1530" w:type="dxa"/>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A569D8"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w:t>
            </w:r>
            <w:r w:rsidR="0055600E" w:rsidRPr="009A775F">
              <w:rPr>
                <w:rFonts w:ascii="Verdana" w:eastAsia="Times New Roman" w:hAnsi="Verdana" w:cs="Arial"/>
                <w:bCs/>
                <w:kern w:val="24"/>
                <w:sz w:val="20"/>
                <w:szCs w:val="20"/>
                <w:lang w:eastAsia="es-ES"/>
              </w:rPr>
              <w:t xml:space="preserve">60 </w:t>
            </w:r>
            <w:proofErr w:type="spellStart"/>
            <w:r w:rsidR="0055600E" w:rsidRPr="009A775F">
              <w:rPr>
                <w:rFonts w:ascii="Verdana" w:eastAsia="Times New Roman" w:hAnsi="Verdana" w:cs="Arial"/>
                <w:bCs/>
                <w:kern w:val="24"/>
                <w:sz w:val="20"/>
                <w:szCs w:val="20"/>
                <w:lang w:eastAsia="es-ES"/>
              </w:rPr>
              <w:t>años</w:t>
            </w:r>
            <w:proofErr w:type="spellEnd"/>
          </w:p>
        </w:tc>
        <w:tc>
          <w:tcPr>
            <w:tcW w:w="1635" w:type="dxa"/>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 xml:space="preserve">  61-70 </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71-80</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 xml:space="preserve">81-90 </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 xml:space="preserve">91-100 </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 xml:space="preserve">100 </w:t>
            </w:r>
            <w:proofErr w:type="spellStart"/>
            <w:r w:rsidRPr="009A775F">
              <w:rPr>
                <w:rFonts w:ascii="Verdana" w:eastAsia="Times New Roman" w:hAnsi="Verdana" w:cs="Arial"/>
                <w:bCs/>
                <w:kern w:val="24"/>
                <w:sz w:val="20"/>
                <w:szCs w:val="20"/>
                <w:lang w:eastAsia="es-ES"/>
              </w:rPr>
              <w:t>años</w:t>
            </w:r>
            <w:proofErr w:type="spellEnd"/>
            <w:r w:rsidRPr="009A775F">
              <w:rPr>
                <w:rFonts w:ascii="Verdana" w:eastAsia="Times New Roman" w:hAnsi="Verdana" w:cs="Arial"/>
                <w:bCs/>
                <w:kern w:val="24"/>
                <w:sz w:val="20"/>
                <w:szCs w:val="20"/>
                <w:lang w:eastAsia="es-ES"/>
              </w:rPr>
              <w:t xml:space="preserve"> o </w:t>
            </w:r>
            <w:proofErr w:type="spellStart"/>
            <w:r w:rsidRPr="009A775F">
              <w:rPr>
                <w:rFonts w:ascii="Verdana" w:eastAsia="Times New Roman" w:hAnsi="Verdana" w:cs="Arial"/>
                <w:bCs/>
                <w:kern w:val="24"/>
                <w:sz w:val="20"/>
                <w:szCs w:val="20"/>
                <w:lang w:eastAsia="es-ES"/>
              </w:rPr>
              <w:t>más</w:t>
            </w:r>
            <w:proofErr w:type="spellEnd"/>
            <w:r w:rsidRPr="009A775F">
              <w:rPr>
                <w:rFonts w:ascii="Verdana" w:eastAsia="Times New Roman" w:hAnsi="Verdana" w:cs="Arial"/>
                <w:bCs/>
                <w:kern w:val="24"/>
                <w:sz w:val="20"/>
                <w:szCs w:val="20"/>
                <w:lang w:val="es-ES" w:eastAsia="es-ES"/>
              </w:rPr>
              <w:t xml:space="preserve">  Total</w:t>
            </w:r>
          </w:p>
        </w:tc>
      </w:tr>
      <w:tr w:rsidR="008A0529" w:rsidRPr="009A775F" w:rsidTr="008A0529">
        <w:trPr>
          <w:trHeight w:val="373"/>
        </w:trPr>
        <w:tc>
          <w:tcPr>
            <w:tcW w:w="1530" w:type="dxa"/>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tcPr>
          <w:p w:rsidR="0055600E" w:rsidRPr="009A775F" w:rsidRDefault="0055600E" w:rsidP="00D860EF">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FA      FR</w:t>
            </w:r>
          </w:p>
        </w:tc>
        <w:tc>
          <w:tcPr>
            <w:tcW w:w="1635" w:type="dxa"/>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tcPr>
          <w:p w:rsidR="0055600E" w:rsidRPr="009A775F" w:rsidRDefault="0055600E" w:rsidP="00D860EF">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FA        FR</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tcPr>
          <w:p w:rsidR="0055600E" w:rsidRPr="009A775F" w:rsidRDefault="0055600E" w:rsidP="00D860EF">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FA       FR</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tcPr>
          <w:p w:rsidR="0055600E" w:rsidRPr="009A775F" w:rsidRDefault="0055600E" w:rsidP="00D860EF">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FA      FR</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tcPr>
          <w:p w:rsidR="0055600E" w:rsidRPr="009A775F" w:rsidRDefault="0055600E" w:rsidP="00D860EF">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FA    FR</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tcPr>
          <w:p w:rsidR="0055600E" w:rsidRPr="009A775F" w:rsidRDefault="0055600E" w:rsidP="00D860EF">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FA       FR          FA    FR</w:t>
            </w:r>
          </w:p>
        </w:tc>
      </w:tr>
      <w:tr w:rsidR="008A0529" w:rsidRPr="009A775F" w:rsidTr="008A0529">
        <w:trPr>
          <w:trHeight w:val="236"/>
        </w:trPr>
        <w:tc>
          <w:tcPr>
            <w:tcW w:w="1530" w:type="dxa"/>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516</w:t>
            </w:r>
            <w:r w:rsidRPr="009A775F">
              <w:rPr>
                <w:rFonts w:ascii="Verdana" w:eastAsia="Times New Roman" w:hAnsi="Verdana" w:cs="Arial"/>
                <w:kern w:val="24"/>
                <w:sz w:val="20"/>
                <w:szCs w:val="20"/>
                <w:lang w:val="es-ES" w:eastAsia="es-ES"/>
              </w:rPr>
              <w:t xml:space="preserve">   31,7</w:t>
            </w:r>
          </w:p>
        </w:tc>
        <w:tc>
          <w:tcPr>
            <w:tcW w:w="1635" w:type="dxa"/>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55600E">
            <w:pPr>
              <w:tabs>
                <w:tab w:val="left" w:pos="780"/>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452</w:t>
            </w:r>
            <w:r w:rsidRPr="009A775F">
              <w:rPr>
                <w:rFonts w:ascii="Verdana" w:eastAsia="Times New Roman" w:hAnsi="Verdana" w:cs="Arial"/>
                <w:kern w:val="24"/>
                <w:sz w:val="20"/>
                <w:szCs w:val="20"/>
                <w:lang w:eastAsia="es-ES"/>
              </w:rPr>
              <w:tab/>
            </w:r>
            <w:r w:rsidRPr="009A775F">
              <w:rPr>
                <w:rFonts w:ascii="Verdana" w:eastAsia="Times New Roman" w:hAnsi="Verdana" w:cs="Arial"/>
                <w:kern w:val="24"/>
                <w:sz w:val="20"/>
                <w:szCs w:val="20"/>
                <w:lang w:val="es-MX" w:eastAsia="es-ES"/>
              </w:rPr>
              <w:t>27,8</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351</w:t>
            </w:r>
            <w:r w:rsidRPr="009A775F">
              <w:rPr>
                <w:rFonts w:ascii="Verdana" w:eastAsia="Times New Roman" w:hAnsi="Verdana" w:cs="Arial"/>
                <w:kern w:val="24"/>
                <w:sz w:val="20"/>
                <w:szCs w:val="20"/>
                <w:lang w:val="es-MX" w:eastAsia="es-ES"/>
              </w:rPr>
              <w:t xml:space="preserve">    21,6</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242</w:t>
            </w:r>
            <w:r w:rsidRPr="009A775F">
              <w:rPr>
                <w:rFonts w:ascii="Verdana" w:eastAsia="Times New Roman" w:hAnsi="Verdana" w:cs="Arial"/>
                <w:kern w:val="24"/>
                <w:sz w:val="20"/>
                <w:szCs w:val="20"/>
                <w:lang w:val="es-MX" w:eastAsia="es-ES"/>
              </w:rPr>
              <w:t xml:space="preserve"> 14,9</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D860EF">
            <w:pPr>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54</w:t>
            </w:r>
            <w:r w:rsidRPr="009A775F">
              <w:rPr>
                <w:rFonts w:ascii="Verdana" w:eastAsia="Times New Roman" w:hAnsi="Verdana" w:cs="Arial"/>
                <w:kern w:val="24"/>
                <w:sz w:val="20"/>
                <w:szCs w:val="20"/>
                <w:lang w:val="es-MX" w:eastAsia="es-ES"/>
              </w:rPr>
              <w:t xml:space="preserve">   3,3</w:t>
            </w:r>
          </w:p>
        </w:tc>
        <w:tc>
          <w:tcPr>
            <w:tcW w:w="0" w:type="auto"/>
            <w:tcBorders>
              <w:top w:val="single" w:sz="4" w:space="0" w:color="auto"/>
              <w:left w:val="single" w:sz="8" w:space="0" w:color="FFFFFF"/>
              <w:bottom w:val="single" w:sz="4" w:space="0" w:color="auto"/>
              <w:right w:val="single" w:sz="8" w:space="0" w:color="FFFFFF"/>
            </w:tcBorders>
            <w:shd w:val="clear" w:color="auto" w:fill="FFFFFF" w:themeFill="background1"/>
            <w:tcMar>
              <w:top w:w="72" w:type="dxa"/>
              <w:left w:w="144" w:type="dxa"/>
              <w:bottom w:w="72" w:type="dxa"/>
              <w:right w:w="144" w:type="dxa"/>
            </w:tcMar>
            <w:hideMark/>
          </w:tcPr>
          <w:p w:rsidR="0055600E" w:rsidRPr="009A775F" w:rsidRDefault="0055600E" w:rsidP="0055600E">
            <w:pPr>
              <w:tabs>
                <w:tab w:val="left" w:pos="1845"/>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11</w:t>
            </w:r>
            <w:r w:rsidRPr="009A775F">
              <w:rPr>
                <w:rFonts w:ascii="Verdana" w:eastAsia="Times New Roman" w:hAnsi="Verdana" w:cs="Arial"/>
                <w:kern w:val="24"/>
                <w:sz w:val="20"/>
                <w:szCs w:val="20"/>
                <w:lang w:val="es-MX" w:eastAsia="es-ES"/>
              </w:rPr>
              <w:t xml:space="preserve">     0,7          1626  100</w:t>
            </w:r>
          </w:p>
        </w:tc>
      </w:tr>
    </w:tbl>
    <w:p w:rsidR="008A0529" w:rsidRPr="009A775F" w:rsidRDefault="008A0529" w:rsidP="008A0529">
      <w:pPr>
        <w:spacing w:after="0" w:line="240" w:lineRule="auto"/>
        <w:jc w:val="both"/>
        <w:rPr>
          <w:rFonts w:ascii="Verdana" w:hAnsi="Verdana"/>
          <w:sz w:val="20"/>
          <w:szCs w:val="20"/>
          <w:lang w:val="es-ES"/>
        </w:rPr>
      </w:pPr>
      <w:r w:rsidRPr="009A775F">
        <w:rPr>
          <w:rFonts w:ascii="Verdana" w:hAnsi="Verdana"/>
          <w:sz w:val="20"/>
          <w:szCs w:val="20"/>
          <w:lang w:val="es-ES"/>
        </w:rPr>
        <w:t>Fuente: Informes del Comité Transfusional Hospitalario</w:t>
      </w:r>
    </w:p>
    <w:p w:rsidR="0055600E" w:rsidRPr="009A775F" w:rsidRDefault="0055600E" w:rsidP="0055600E">
      <w:pPr>
        <w:autoSpaceDE w:val="0"/>
        <w:autoSpaceDN w:val="0"/>
        <w:adjustRightInd w:val="0"/>
        <w:spacing w:after="0" w:line="240" w:lineRule="auto"/>
        <w:jc w:val="both"/>
        <w:rPr>
          <w:rFonts w:ascii="Verdana" w:hAnsi="Verdana" w:cs="Arial"/>
          <w:sz w:val="20"/>
          <w:szCs w:val="20"/>
          <w:lang w:val="es-ES"/>
        </w:rPr>
      </w:pPr>
    </w:p>
    <w:p w:rsidR="0055600E" w:rsidRPr="009A775F" w:rsidRDefault="0055600E" w:rsidP="0055600E">
      <w:pPr>
        <w:autoSpaceDE w:val="0"/>
        <w:autoSpaceDN w:val="0"/>
        <w:adjustRightInd w:val="0"/>
        <w:spacing w:after="0" w:line="240" w:lineRule="auto"/>
        <w:jc w:val="both"/>
        <w:rPr>
          <w:rFonts w:ascii="Verdana" w:hAnsi="Verdana"/>
          <w:sz w:val="20"/>
          <w:szCs w:val="20"/>
          <w:lang w:val="es-ES"/>
        </w:rPr>
      </w:pPr>
      <w:r w:rsidRPr="009A775F">
        <w:rPr>
          <w:rFonts w:ascii="Verdana" w:hAnsi="Verdana" w:cs="Arial"/>
          <w:sz w:val="20"/>
          <w:szCs w:val="20"/>
          <w:lang w:val="es-ES"/>
        </w:rPr>
        <w:t>Los datos que se muestran en la Tabla 2 son reflejo de los que se recogen en el Informe Mensual del Comité de Transfusión Hospitalaria del HLCR</w:t>
      </w:r>
      <w:r w:rsidR="00BB185A" w:rsidRPr="009A775F">
        <w:rPr>
          <w:rFonts w:ascii="Verdana" w:hAnsi="Verdana" w:cs="Arial"/>
          <w:sz w:val="20"/>
          <w:szCs w:val="20"/>
          <w:lang w:val="es-ES"/>
        </w:rPr>
        <w:t>,</w:t>
      </w:r>
      <w:r w:rsidRPr="009A775F">
        <w:rPr>
          <w:rFonts w:ascii="Verdana" w:hAnsi="Verdana" w:cs="Arial"/>
          <w:sz w:val="20"/>
          <w:szCs w:val="20"/>
          <w:lang w:val="es-ES"/>
        </w:rPr>
        <w:t xml:space="preserve"> el cual por contar con servicio de </w:t>
      </w:r>
      <w:r w:rsidRPr="009A775F">
        <w:rPr>
          <w:rFonts w:ascii="Verdana" w:hAnsi="Verdana" w:cs="Arial"/>
          <w:sz w:val="20"/>
          <w:szCs w:val="20"/>
          <w:lang w:val="es-ES"/>
        </w:rPr>
        <w:lastRenderedPageBreak/>
        <w:t>Geriatría de referencia provincial</w:t>
      </w:r>
      <w:r w:rsidR="00BB185A" w:rsidRPr="009A775F">
        <w:rPr>
          <w:rFonts w:ascii="Verdana" w:hAnsi="Verdana" w:cs="Arial"/>
          <w:sz w:val="20"/>
          <w:szCs w:val="20"/>
          <w:lang w:val="es-ES"/>
        </w:rPr>
        <w:t>,</w:t>
      </w:r>
      <w:r w:rsidRPr="009A775F">
        <w:rPr>
          <w:rFonts w:ascii="Verdana" w:hAnsi="Verdana" w:cs="Arial"/>
          <w:sz w:val="20"/>
          <w:szCs w:val="20"/>
          <w:lang w:val="es-ES"/>
        </w:rPr>
        <w:t xml:space="preserve"> </w:t>
      </w:r>
      <w:r w:rsidR="00BB185A" w:rsidRPr="009A775F">
        <w:rPr>
          <w:rFonts w:ascii="Verdana" w:hAnsi="Verdana" w:cs="Arial"/>
          <w:sz w:val="20"/>
          <w:szCs w:val="20"/>
          <w:lang w:val="es-ES"/>
        </w:rPr>
        <w:t xml:space="preserve">le es de utilidad conocer el comportamiento particular del tema tratado en la senectud. El 68,3 % de los pacientes transfundidos pertenecían a la tercera edad y el resto menor de 60 años. El grupo de 61-70 años aportó el mayor número de pacientes de la edad geriátrica. </w:t>
      </w:r>
    </w:p>
    <w:p w:rsidR="00D035FB" w:rsidRPr="009A775F" w:rsidRDefault="00D035FB" w:rsidP="00360753">
      <w:pPr>
        <w:autoSpaceDE w:val="0"/>
        <w:autoSpaceDN w:val="0"/>
        <w:adjustRightInd w:val="0"/>
        <w:spacing w:after="0" w:line="240" w:lineRule="auto"/>
        <w:jc w:val="both"/>
        <w:rPr>
          <w:rFonts w:ascii="Verdana" w:hAnsi="Verdana" w:cs="Arial"/>
          <w:sz w:val="20"/>
          <w:szCs w:val="20"/>
          <w:lang w:val="es-ES"/>
        </w:rPr>
      </w:pPr>
    </w:p>
    <w:p w:rsidR="00257627" w:rsidRPr="009A775F" w:rsidRDefault="0055600E" w:rsidP="00360753">
      <w:pPr>
        <w:spacing w:after="0" w:line="240" w:lineRule="auto"/>
        <w:jc w:val="both"/>
        <w:rPr>
          <w:rFonts w:ascii="Verdana" w:hAnsi="Verdana"/>
          <w:sz w:val="20"/>
          <w:szCs w:val="20"/>
          <w:lang w:val="es-ES"/>
        </w:rPr>
      </w:pPr>
      <w:r w:rsidRPr="009A775F">
        <w:rPr>
          <w:rFonts w:ascii="Verdana" w:hAnsi="Verdana"/>
          <w:sz w:val="20"/>
          <w:szCs w:val="20"/>
          <w:lang w:val="es-ES"/>
        </w:rPr>
        <w:t>Tabla 3</w:t>
      </w:r>
      <w:r w:rsidR="005B4DF0" w:rsidRPr="009A775F">
        <w:rPr>
          <w:rFonts w:ascii="Verdana" w:hAnsi="Verdana"/>
          <w:sz w:val="20"/>
          <w:szCs w:val="20"/>
          <w:lang w:val="es-ES"/>
        </w:rPr>
        <w:t xml:space="preserve">. Uso por componentes en el HLCR </w:t>
      </w:r>
      <w:r w:rsidR="00472D5B" w:rsidRPr="009A775F">
        <w:rPr>
          <w:rFonts w:ascii="Verdana" w:hAnsi="Verdana"/>
          <w:sz w:val="20"/>
          <w:szCs w:val="20"/>
          <w:lang w:val="es-ES"/>
        </w:rPr>
        <w:t>2014-</w:t>
      </w:r>
      <w:r w:rsidR="005B4DF0" w:rsidRPr="009A775F">
        <w:rPr>
          <w:rFonts w:ascii="Verdana" w:hAnsi="Verdana"/>
          <w:sz w:val="20"/>
          <w:szCs w:val="20"/>
          <w:lang w:val="es-ES"/>
        </w:rPr>
        <w:t>2015</w:t>
      </w:r>
      <w:r w:rsidR="00472D5B" w:rsidRPr="009A775F">
        <w:rPr>
          <w:rFonts w:ascii="Verdana" w:hAnsi="Verdana"/>
          <w:sz w:val="20"/>
          <w:szCs w:val="20"/>
          <w:lang w:val="es-ES"/>
        </w:rPr>
        <w:t>.</w:t>
      </w:r>
    </w:p>
    <w:p w:rsidR="00472D5B" w:rsidRPr="009A775F" w:rsidRDefault="00472D5B" w:rsidP="00360753">
      <w:pPr>
        <w:spacing w:after="0" w:line="240" w:lineRule="auto"/>
        <w:jc w:val="both"/>
        <w:rPr>
          <w:rFonts w:ascii="Verdana" w:hAnsi="Verdana"/>
          <w:sz w:val="20"/>
          <w:szCs w:val="20"/>
          <w:lang w:val="es-ES"/>
        </w:rPr>
      </w:pPr>
    </w:p>
    <w:tbl>
      <w:tblPr>
        <w:tblW w:w="4999" w:type="pct"/>
        <w:tblCellMar>
          <w:left w:w="0" w:type="dxa"/>
          <w:right w:w="0" w:type="dxa"/>
        </w:tblCellMar>
        <w:tblLook w:val="0600" w:firstRow="0" w:lastRow="0" w:firstColumn="0" w:lastColumn="0" w:noHBand="1" w:noVBand="1"/>
      </w:tblPr>
      <w:tblGrid>
        <w:gridCol w:w="2966"/>
        <w:gridCol w:w="2140"/>
        <w:gridCol w:w="2677"/>
        <w:gridCol w:w="1694"/>
        <w:gridCol w:w="40"/>
      </w:tblGrid>
      <w:tr w:rsidR="008A0529" w:rsidRPr="009A775F" w:rsidTr="00D035FB">
        <w:trPr>
          <w:trHeight w:val="311"/>
        </w:trPr>
        <w:tc>
          <w:tcPr>
            <w:tcW w:w="1558" w:type="pct"/>
            <w:vMerge w:val="restart"/>
            <w:tcBorders>
              <w:top w:val="single" w:sz="8" w:space="0" w:color="000000"/>
              <w:left w:val="nil"/>
              <w:right w:val="nil"/>
            </w:tcBorders>
            <w:shd w:val="clear" w:color="auto" w:fill="auto"/>
            <w:tcMar>
              <w:top w:w="15" w:type="dxa"/>
              <w:left w:w="144" w:type="dxa"/>
              <w:bottom w:w="0" w:type="dxa"/>
              <w:right w:w="144" w:type="dxa"/>
            </w:tcMar>
            <w:hideMark/>
          </w:tcPr>
          <w:p w:rsidR="00472D5B" w:rsidRPr="009A775F" w:rsidRDefault="00D035FB" w:rsidP="00A413D6">
            <w:pPr>
              <w:spacing w:after="0" w:line="240" w:lineRule="auto"/>
              <w:ind w:firstLine="57"/>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 xml:space="preserve">Componentes </w:t>
            </w:r>
          </w:p>
          <w:p w:rsidR="00A413D6" w:rsidRPr="009A775F" w:rsidRDefault="00472D5B"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 xml:space="preserve">     </w:t>
            </w:r>
            <w:r w:rsidR="00D035FB" w:rsidRPr="009A775F">
              <w:rPr>
                <w:rFonts w:ascii="Verdana" w:eastAsia="Times New Roman" w:hAnsi="Verdana" w:cs="Times New Roman"/>
                <w:kern w:val="24"/>
                <w:sz w:val="20"/>
                <w:szCs w:val="20"/>
                <w:lang w:val="es-ES" w:eastAsia="es-ES"/>
              </w:rPr>
              <w:t>(</w:t>
            </w:r>
            <w:proofErr w:type="spellStart"/>
            <w:r w:rsidR="00D035FB" w:rsidRPr="009A775F">
              <w:rPr>
                <w:rFonts w:ascii="Verdana" w:eastAsia="Times New Roman" w:hAnsi="Verdana" w:cs="Times New Roman"/>
                <w:kern w:val="24"/>
                <w:sz w:val="20"/>
                <w:szCs w:val="20"/>
                <w:lang w:val="es-ES" w:eastAsia="es-ES"/>
              </w:rPr>
              <w:t>uds</w:t>
            </w:r>
            <w:proofErr w:type="spellEnd"/>
            <w:r w:rsidR="00D035FB" w:rsidRPr="009A775F">
              <w:rPr>
                <w:rFonts w:ascii="Verdana" w:eastAsia="Times New Roman" w:hAnsi="Verdana" w:cs="Times New Roman"/>
                <w:kern w:val="24"/>
                <w:sz w:val="20"/>
                <w:szCs w:val="20"/>
                <w:lang w:val="es-ES" w:eastAsia="es-ES"/>
              </w:rPr>
              <w:t>)</w:t>
            </w:r>
          </w:p>
        </w:tc>
        <w:tc>
          <w:tcPr>
            <w:tcW w:w="1124" w:type="pct"/>
            <w:tcBorders>
              <w:top w:val="single" w:sz="8" w:space="0" w:color="000000"/>
              <w:left w:val="nil"/>
              <w:bottom w:val="single" w:sz="8" w:space="0" w:color="000000"/>
              <w:right w:val="nil"/>
            </w:tcBorders>
            <w:shd w:val="clear" w:color="auto" w:fill="auto"/>
            <w:tcMar>
              <w:top w:w="15" w:type="dxa"/>
              <w:left w:w="144" w:type="dxa"/>
              <w:bottom w:w="0" w:type="dxa"/>
              <w:right w:w="144" w:type="dxa"/>
            </w:tcMar>
            <w:hideMark/>
          </w:tcPr>
          <w:p w:rsidR="00A413D6" w:rsidRPr="009A775F" w:rsidRDefault="00D035FB"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r w:rsidRPr="009A775F">
              <w:rPr>
                <w:rFonts w:ascii="Verdana" w:eastAsia="Times New Roman" w:hAnsi="Verdana" w:cs="Times New Roman"/>
                <w:kern w:val="24"/>
                <w:sz w:val="20"/>
                <w:szCs w:val="20"/>
                <w:lang w:val="es-PR" w:eastAsia="es-ES"/>
              </w:rPr>
              <w:t>201</w:t>
            </w:r>
            <w:r w:rsidRPr="009A775F">
              <w:rPr>
                <w:rFonts w:ascii="Verdana" w:eastAsia="Times New Roman" w:hAnsi="Verdana" w:cs="Times New Roman"/>
                <w:kern w:val="24"/>
                <w:sz w:val="20"/>
                <w:szCs w:val="20"/>
                <w:lang w:eastAsia="es-ES"/>
              </w:rPr>
              <w:t>4</w:t>
            </w:r>
          </w:p>
        </w:tc>
        <w:tc>
          <w:tcPr>
            <w:tcW w:w="1406" w:type="pct"/>
            <w:tcBorders>
              <w:top w:val="single" w:sz="8" w:space="0" w:color="000000"/>
              <w:left w:val="nil"/>
              <w:bottom w:val="single" w:sz="8" w:space="0" w:color="000000"/>
              <w:right w:val="nil"/>
            </w:tcBorders>
            <w:shd w:val="clear" w:color="auto" w:fill="auto"/>
            <w:tcMar>
              <w:top w:w="15" w:type="dxa"/>
              <w:left w:w="144" w:type="dxa"/>
              <w:bottom w:w="0" w:type="dxa"/>
              <w:right w:w="144" w:type="dxa"/>
            </w:tcMar>
            <w:hideMark/>
          </w:tcPr>
          <w:p w:rsidR="00A413D6" w:rsidRPr="009A775F" w:rsidRDefault="00D035FB"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r w:rsidRPr="009A775F">
              <w:rPr>
                <w:rFonts w:ascii="Verdana" w:eastAsia="Times New Roman" w:hAnsi="Verdana" w:cs="Times New Roman"/>
                <w:kern w:val="24"/>
                <w:sz w:val="20"/>
                <w:szCs w:val="20"/>
                <w:lang w:val="es-ES" w:eastAsia="es-ES"/>
              </w:rPr>
              <w:t>2015</w:t>
            </w:r>
          </w:p>
        </w:tc>
        <w:tc>
          <w:tcPr>
            <w:tcW w:w="890" w:type="pct"/>
            <w:tcBorders>
              <w:top w:val="single" w:sz="8" w:space="0" w:color="000000"/>
              <w:left w:val="nil"/>
              <w:bottom w:val="single" w:sz="8" w:space="0" w:color="000000"/>
              <w:right w:val="nil"/>
            </w:tcBorders>
            <w:shd w:val="clear" w:color="auto" w:fill="auto"/>
            <w:tcMar>
              <w:top w:w="15" w:type="dxa"/>
              <w:left w:w="144" w:type="dxa"/>
              <w:bottom w:w="0" w:type="dxa"/>
              <w:right w:w="144" w:type="dxa"/>
            </w:tcMar>
            <w:hideMark/>
          </w:tcPr>
          <w:p w:rsidR="00D035FB" w:rsidRPr="009A775F" w:rsidRDefault="00D035FB" w:rsidP="00A413D6">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sz w:val="20"/>
                <w:szCs w:val="20"/>
                <w:lang w:val="es-ES" w:eastAsia="es-ES"/>
              </w:rPr>
              <w:t xml:space="preserve"> Total</w:t>
            </w:r>
          </w:p>
        </w:tc>
        <w:tc>
          <w:tcPr>
            <w:tcW w:w="21"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rsidR="00D035FB" w:rsidRPr="009A775F" w:rsidRDefault="00D035FB" w:rsidP="00A413D6">
            <w:pPr>
              <w:spacing w:after="0" w:line="240" w:lineRule="auto"/>
              <w:rPr>
                <w:rFonts w:ascii="Verdana" w:eastAsia="Times New Roman" w:hAnsi="Verdana" w:cs="Arial"/>
                <w:sz w:val="20"/>
                <w:szCs w:val="20"/>
                <w:lang w:val="es-ES" w:eastAsia="es-ES"/>
              </w:rPr>
            </w:pPr>
          </w:p>
        </w:tc>
      </w:tr>
      <w:tr w:rsidR="008A0529" w:rsidRPr="009A775F" w:rsidTr="00D035FB">
        <w:trPr>
          <w:trHeight w:val="59"/>
        </w:trPr>
        <w:tc>
          <w:tcPr>
            <w:tcW w:w="1558" w:type="pct"/>
            <w:vMerge/>
            <w:tcBorders>
              <w:left w:val="nil"/>
              <w:bottom w:val="single" w:sz="8" w:space="0" w:color="000000"/>
              <w:right w:val="nil"/>
            </w:tcBorders>
            <w:shd w:val="clear" w:color="auto" w:fill="auto"/>
            <w:tcMar>
              <w:top w:w="15" w:type="dxa"/>
              <w:left w:w="144" w:type="dxa"/>
              <w:bottom w:w="0" w:type="dxa"/>
              <w:right w:w="144" w:type="dxa"/>
            </w:tcMar>
          </w:tcPr>
          <w:p w:rsidR="00D035FB" w:rsidRPr="009A775F" w:rsidRDefault="00D035FB" w:rsidP="00A413D6">
            <w:pPr>
              <w:spacing w:after="0" w:line="240" w:lineRule="auto"/>
              <w:ind w:firstLine="57"/>
              <w:textAlignment w:val="baseline"/>
              <w:rPr>
                <w:rFonts w:ascii="Verdana" w:eastAsia="Times New Roman" w:hAnsi="Verdana" w:cs="Times New Roman"/>
                <w:kern w:val="24"/>
                <w:sz w:val="20"/>
                <w:szCs w:val="20"/>
                <w:lang w:val="es-ES" w:eastAsia="es-ES"/>
              </w:rPr>
            </w:pPr>
          </w:p>
        </w:tc>
        <w:tc>
          <w:tcPr>
            <w:tcW w:w="1124" w:type="pct"/>
            <w:tcBorders>
              <w:top w:val="single" w:sz="8" w:space="0" w:color="000000"/>
              <w:left w:val="nil"/>
              <w:bottom w:val="single" w:sz="8" w:space="0" w:color="000000"/>
              <w:right w:val="nil"/>
            </w:tcBorders>
            <w:shd w:val="clear" w:color="auto" w:fill="auto"/>
            <w:tcMar>
              <w:top w:w="15" w:type="dxa"/>
              <w:left w:w="144" w:type="dxa"/>
              <w:bottom w:w="0" w:type="dxa"/>
              <w:right w:w="144" w:type="dxa"/>
            </w:tcMar>
          </w:tcPr>
          <w:p w:rsidR="00D035FB" w:rsidRPr="009A775F" w:rsidRDefault="00D035FB" w:rsidP="00D035FB">
            <w:pPr>
              <w:spacing w:after="0" w:line="240" w:lineRule="auto"/>
              <w:ind w:firstLine="57"/>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FA               FR</w:t>
            </w:r>
          </w:p>
        </w:tc>
        <w:tc>
          <w:tcPr>
            <w:tcW w:w="1406" w:type="pct"/>
            <w:tcBorders>
              <w:top w:val="single" w:sz="8" w:space="0" w:color="000000"/>
              <w:left w:val="nil"/>
              <w:bottom w:val="single" w:sz="8" w:space="0" w:color="000000"/>
              <w:right w:val="nil"/>
            </w:tcBorders>
            <w:shd w:val="clear" w:color="auto" w:fill="auto"/>
            <w:tcMar>
              <w:top w:w="15" w:type="dxa"/>
              <w:left w:w="144" w:type="dxa"/>
              <w:bottom w:w="0" w:type="dxa"/>
              <w:right w:w="144" w:type="dxa"/>
            </w:tcMar>
          </w:tcPr>
          <w:p w:rsidR="00D035FB" w:rsidRPr="009A775F" w:rsidRDefault="00D035FB" w:rsidP="00D035FB">
            <w:pPr>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 xml:space="preserve">  </w:t>
            </w:r>
            <w:r w:rsidR="00472D5B" w:rsidRPr="009A775F">
              <w:rPr>
                <w:rFonts w:ascii="Verdana" w:eastAsia="Times New Roman" w:hAnsi="Verdana" w:cs="Times New Roman"/>
                <w:kern w:val="24"/>
                <w:sz w:val="20"/>
                <w:szCs w:val="20"/>
                <w:lang w:val="es-ES" w:eastAsia="es-ES"/>
              </w:rPr>
              <w:t xml:space="preserve">     </w:t>
            </w:r>
            <w:r w:rsidRPr="009A775F">
              <w:rPr>
                <w:rFonts w:ascii="Verdana" w:eastAsia="Times New Roman" w:hAnsi="Verdana" w:cs="Times New Roman"/>
                <w:kern w:val="24"/>
                <w:sz w:val="20"/>
                <w:szCs w:val="20"/>
                <w:lang w:val="es-ES" w:eastAsia="es-ES"/>
              </w:rPr>
              <w:t xml:space="preserve"> FA              FR        </w:t>
            </w:r>
          </w:p>
        </w:tc>
        <w:tc>
          <w:tcPr>
            <w:tcW w:w="890" w:type="pct"/>
            <w:tcBorders>
              <w:top w:val="single" w:sz="8" w:space="0" w:color="000000"/>
              <w:left w:val="nil"/>
              <w:bottom w:val="single" w:sz="8" w:space="0" w:color="000000"/>
              <w:right w:val="nil"/>
            </w:tcBorders>
            <w:shd w:val="clear" w:color="auto" w:fill="auto"/>
            <w:tcMar>
              <w:top w:w="15" w:type="dxa"/>
              <w:left w:w="144" w:type="dxa"/>
              <w:bottom w:w="0" w:type="dxa"/>
              <w:right w:w="144" w:type="dxa"/>
            </w:tcMar>
          </w:tcPr>
          <w:p w:rsidR="00D035FB" w:rsidRPr="009A775F" w:rsidRDefault="00D035FB" w:rsidP="00A413D6">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sz w:val="20"/>
                <w:szCs w:val="20"/>
                <w:lang w:val="es-ES" w:eastAsia="es-ES"/>
              </w:rPr>
              <w:t>FA          FR</w:t>
            </w:r>
          </w:p>
        </w:tc>
        <w:tc>
          <w:tcPr>
            <w:tcW w:w="21" w:type="pct"/>
            <w:tcBorders>
              <w:top w:val="single" w:sz="8" w:space="0" w:color="000000"/>
              <w:left w:val="nil"/>
              <w:bottom w:val="single" w:sz="8" w:space="0" w:color="000000"/>
              <w:right w:val="nil"/>
            </w:tcBorders>
            <w:shd w:val="clear" w:color="auto" w:fill="auto"/>
            <w:tcMar>
              <w:top w:w="15" w:type="dxa"/>
              <w:left w:w="15" w:type="dxa"/>
              <w:bottom w:w="0" w:type="dxa"/>
              <w:right w:w="15" w:type="dxa"/>
            </w:tcMar>
          </w:tcPr>
          <w:p w:rsidR="00D035FB" w:rsidRPr="009A775F" w:rsidRDefault="00D035FB" w:rsidP="00A413D6">
            <w:pPr>
              <w:spacing w:after="0" w:line="240" w:lineRule="auto"/>
              <w:rPr>
                <w:rFonts w:ascii="Verdana" w:eastAsia="Times New Roman" w:hAnsi="Verdana" w:cs="Arial"/>
                <w:sz w:val="20"/>
                <w:szCs w:val="20"/>
                <w:lang w:val="es-ES" w:eastAsia="es-ES"/>
              </w:rPr>
            </w:pPr>
          </w:p>
        </w:tc>
      </w:tr>
      <w:tr w:rsidR="008A0529" w:rsidRPr="009A775F" w:rsidTr="00D035FB">
        <w:trPr>
          <w:trHeight w:val="318"/>
        </w:trPr>
        <w:tc>
          <w:tcPr>
            <w:tcW w:w="1558" w:type="pct"/>
            <w:tcBorders>
              <w:top w:val="single" w:sz="8" w:space="0" w:color="000000"/>
              <w:left w:val="nil"/>
              <w:bottom w:val="nil"/>
              <w:right w:val="nil"/>
            </w:tcBorders>
            <w:shd w:val="clear" w:color="auto" w:fill="auto"/>
            <w:tcMar>
              <w:top w:w="15" w:type="dxa"/>
              <w:left w:w="144" w:type="dxa"/>
              <w:bottom w:w="0" w:type="dxa"/>
              <w:right w:w="144" w:type="dxa"/>
            </w:tcMar>
            <w:hideMark/>
          </w:tcPr>
          <w:p w:rsidR="00A413D6" w:rsidRPr="009A775F" w:rsidRDefault="00832737"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CE</w:t>
            </w:r>
            <w:r w:rsidR="00472D5B" w:rsidRPr="009A775F">
              <w:rPr>
                <w:rFonts w:ascii="Verdana" w:eastAsia="Times New Roman" w:hAnsi="Verdana" w:cs="Times New Roman"/>
                <w:kern w:val="24"/>
                <w:sz w:val="20"/>
                <w:szCs w:val="20"/>
                <w:lang w:val="es-ES" w:eastAsia="es-ES"/>
              </w:rPr>
              <w:t>*</w:t>
            </w:r>
          </w:p>
        </w:tc>
        <w:tc>
          <w:tcPr>
            <w:tcW w:w="1124" w:type="pct"/>
            <w:tcBorders>
              <w:top w:val="single" w:sz="8" w:space="0" w:color="000000"/>
              <w:left w:val="nil"/>
              <w:bottom w:val="nil"/>
              <w:right w:val="nil"/>
            </w:tcBorders>
            <w:shd w:val="clear" w:color="auto" w:fill="auto"/>
            <w:tcMar>
              <w:top w:w="15" w:type="dxa"/>
              <w:left w:w="144" w:type="dxa"/>
              <w:bottom w:w="0" w:type="dxa"/>
              <w:right w:w="144" w:type="dxa"/>
            </w:tcMar>
            <w:hideMark/>
          </w:tcPr>
          <w:p w:rsidR="00A413D6" w:rsidRPr="009A775F" w:rsidRDefault="00A413D6" w:rsidP="00D206E1">
            <w:pPr>
              <w:spacing w:after="0" w:line="240" w:lineRule="auto"/>
              <w:ind w:firstLine="57"/>
              <w:jc w:val="both"/>
              <w:textAlignment w:val="baseline"/>
              <w:rPr>
                <w:rFonts w:ascii="Verdana" w:eastAsia="Times New Roman" w:hAnsi="Verdana" w:cs="Arial"/>
                <w:sz w:val="20"/>
                <w:szCs w:val="20"/>
                <w:lang w:val="es-MX" w:eastAsia="es-ES"/>
              </w:rPr>
            </w:pPr>
            <w:r w:rsidRPr="009A775F">
              <w:rPr>
                <w:rFonts w:ascii="Verdana" w:eastAsia="Times New Roman" w:hAnsi="Verdana" w:cs="Times New Roman"/>
                <w:kern w:val="24"/>
                <w:sz w:val="20"/>
                <w:szCs w:val="20"/>
                <w:lang w:val="es-ES" w:eastAsia="es-ES"/>
              </w:rPr>
              <w:t>3061</w:t>
            </w:r>
            <w:r w:rsidR="008265B3" w:rsidRPr="009A775F">
              <w:rPr>
                <w:rFonts w:ascii="Verdana" w:eastAsia="Times New Roman" w:hAnsi="Verdana" w:cs="Times New Roman"/>
                <w:kern w:val="24"/>
                <w:sz w:val="20"/>
                <w:szCs w:val="20"/>
                <w:lang w:eastAsia="es-ES"/>
              </w:rPr>
              <w:t xml:space="preserve">          </w:t>
            </w:r>
            <w:r w:rsidR="00D206E1" w:rsidRPr="009A775F">
              <w:rPr>
                <w:rFonts w:ascii="Verdana" w:eastAsia="Times New Roman" w:hAnsi="Verdana" w:cs="Times New Roman"/>
                <w:kern w:val="24"/>
                <w:sz w:val="20"/>
                <w:szCs w:val="20"/>
                <w:lang w:val="es-MX" w:eastAsia="es-ES"/>
              </w:rPr>
              <w:t>45,7</w:t>
            </w:r>
          </w:p>
        </w:tc>
        <w:tc>
          <w:tcPr>
            <w:tcW w:w="1406" w:type="pct"/>
            <w:tcBorders>
              <w:top w:val="single" w:sz="8" w:space="0" w:color="000000"/>
              <w:left w:val="nil"/>
              <w:bottom w:val="nil"/>
              <w:right w:val="nil"/>
            </w:tcBorders>
            <w:shd w:val="clear" w:color="auto" w:fill="auto"/>
            <w:tcMar>
              <w:top w:w="15" w:type="dxa"/>
              <w:left w:w="144" w:type="dxa"/>
              <w:bottom w:w="0" w:type="dxa"/>
              <w:right w:w="144" w:type="dxa"/>
            </w:tcMar>
            <w:hideMark/>
          </w:tcPr>
          <w:p w:rsidR="00A413D6" w:rsidRPr="009A775F" w:rsidRDefault="00D035FB" w:rsidP="00D206E1">
            <w:pPr>
              <w:spacing w:after="0" w:line="240" w:lineRule="auto"/>
              <w:ind w:firstLine="57"/>
              <w:jc w:val="both"/>
              <w:textAlignment w:val="baseline"/>
              <w:rPr>
                <w:rFonts w:ascii="Verdana" w:eastAsia="Times New Roman" w:hAnsi="Verdana" w:cs="Arial"/>
                <w:sz w:val="20"/>
                <w:szCs w:val="20"/>
                <w:lang w:val="es-MX" w:eastAsia="es-ES"/>
              </w:rPr>
            </w:pPr>
            <w:r w:rsidRPr="009A775F">
              <w:rPr>
                <w:rFonts w:ascii="Verdana" w:eastAsia="Times New Roman" w:hAnsi="Verdana" w:cs="Times New Roman"/>
                <w:kern w:val="24"/>
                <w:sz w:val="20"/>
                <w:szCs w:val="20"/>
                <w:lang w:eastAsia="es-ES"/>
              </w:rPr>
              <w:t xml:space="preserve">  </w:t>
            </w:r>
            <w:r w:rsidR="00472D5B" w:rsidRPr="009A775F">
              <w:rPr>
                <w:rFonts w:ascii="Verdana" w:eastAsia="Times New Roman" w:hAnsi="Verdana" w:cs="Times New Roman"/>
                <w:kern w:val="24"/>
                <w:sz w:val="20"/>
                <w:szCs w:val="20"/>
                <w:lang w:val="es-MX" w:eastAsia="es-ES"/>
              </w:rPr>
              <w:t xml:space="preserve">     </w:t>
            </w:r>
            <w:r w:rsidR="00A413D6" w:rsidRPr="009A775F">
              <w:rPr>
                <w:rFonts w:ascii="Verdana" w:eastAsia="Times New Roman" w:hAnsi="Verdana" w:cs="Times New Roman"/>
                <w:kern w:val="24"/>
                <w:sz w:val="20"/>
                <w:szCs w:val="20"/>
                <w:lang w:eastAsia="es-ES"/>
              </w:rPr>
              <w:t>2418</w:t>
            </w:r>
            <w:r w:rsidR="008265B3" w:rsidRPr="009A775F">
              <w:rPr>
                <w:rFonts w:ascii="Verdana" w:eastAsia="Times New Roman" w:hAnsi="Verdana" w:cs="Times New Roman"/>
                <w:kern w:val="24"/>
                <w:sz w:val="20"/>
                <w:szCs w:val="20"/>
                <w:lang w:eastAsia="es-ES"/>
              </w:rPr>
              <w:t xml:space="preserve">         </w:t>
            </w:r>
            <w:r w:rsidR="00D206E1" w:rsidRPr="009A775F">
              <w:rPr>
                <w:rFonts w:ascii="Verdana" w:eastAsia="Times New Roman" w:hAnsi="Verdana" w:cs="Times New Roman"/>
                <w:kern w:val="24"/>
                <w:sz w:val="20"/>
                <w:szCs w:val="20"/>
                <w:lang w:val="es-MX" w:eastAsia="es-ES"/>
              </w:rPr>
              <w:t>36,1</w:t>
            </w:r>
          </w:p>
        </w:tc>
        <w:tc>
          <w:tcPr>
            <w:tcW w:w="890" w:type="pct"/>
            <w:tcBorders>
              <w:top w:val="single" w:sz="8" w:space="0" w:color="000000"/>
              <w:left w:val="nil"/>
              <w:bottom w:val="nil"/>
              <w:right w:val="nil"/>
            </w:tcBorders>
            <w:shd w:val="clear" w:color="auto" w:fill="auto"/>
            <w:tcMar>
              <w:top w:w="15" w:type="dxa"/>
              <w:left w:w="144" w:type="dxa"/>
              <w:bottom w:w="0" w:type="dxa"/>
              <w:right w:w="144" w:type="dxa"/>
            </w:tcMar>
            <w:hideMark/>
          </w:tcPr>
          <w:p w:rsidR="00A413D6" w:rsidRPr="009A775F" w:rsidRDefault="00DE1E10" w:rsidP="00361783">
            <w:pPr>
              <w:spacing w:after="0" w:line="240" w:lineRule="auto"/>
              <w:rPr>
                <w:rFonts w:ascii="Verdana" w:eastAsia="Times New Roman" w:hAnsi="Verdana" w:cs="Arial"/>
                <w:sz w:val="20"/>
                <w:szCs w:val="20"/>
                <w:lang w:val="es-MX" w:eastAsia="es-ES"/>
              </w:rPr>
            </w:pPr>
            <w:r w:rsidRPr="009A775F">
              <w:rPr>
                <w:rFonts w:ascii="Verdana" w:eastAsia="Times New Roman" w:hAnsi="Verdana" w:cs="Arial"/>
                <w:sz w:val="20"/>
                <w:szCs w:val="20"/>
                <w:lang w:eastAsia="es-ES"/>
              </w:rPr>
              <w:t>5</w:t>
            </w:r>
            <w:r w:rsidR="00361783" w:rsidRPr="009A775F">
              <w:rPr>
                <w:rFonts w:ascii="Verdana" w:eastAsia="Times New Roman" w:hAnsi="Verdana" w:cs="Arial"/>
                <w:sz w:val="20"/>
                <w:szCs w:val="20"/>
                <w:lang w:val="es-MX" w:eastAsia="es-ES"/>
              </w:rPr>
              <w:t>479</w:t>
            </w:r>
            <w:r w:rsidRPr="009A775F">
              <w:rPr>
                <w:rFonts w:ascii="Verdana" w:eastAsia="Times New Roman" w:hAnsi="Verdana" w:cs="Arial"/>
                <w:sz w:val="20"/>
                <w:szCs w:val="20"/>
                <w:lang w:eastAsia="es-ES"/>
              </w:rPr>
              <w:t xml:space="preserve">     </w:t>
            </w:r>
            <w:r w:rsidR="00D93879" w:rsidRPr="009A775F">
              <w:rPr>
                <w:rFonts w:ascii="Verdana" w:eastAsia="Times New Roman" w:hAnsi="Verdana" w:cs="Arial"/>
                <w:sz w:val="20"/>
                <w:szCs w:val="20"/>
                <w:lang w:eastAsia="es-ES"/>
              </w:rPr>
              <w:t xml:space="preserve"> </w:t>
            </w:r>
            <w:r w:rsidR="00D206E1" w:rsidRPr="009A775F">
              <w:rPr>
                <w:rFonts w:ascii="Verdana" w:eastAsia="Times New Roman" w:hAnsi="Verdana" w:cs="Arial"/>
                <w:sz w:val="20"/>
                <w:szCs w:val="20"/>
                <w:lang w:val="es-MX" w:eastAsia="es-ES"/>
              </w:rPr>
              <w:t>81.8</w:t>
            </w:r>
          </w:p>
        </w:tc>
        <w:tc>
          <w:tcPr>
            <w:tcW w:w="21" w:type="pct"/>
            <w:tcBorders>
              <w:top w:val="single" w:sz="8" w:space="0" w:color="000000"/>
              <w:left w:val="nil"/>
              <w:bottom w:val="nil"/>
              <w:right w:val="nil"/>
            </w:tcBorders>
            <w:shd w:val="clear" w:color="auto" w:fill="auto"/>
            <w:tcMar>
              <w:top w:w="15" w:type="dxa"/>
              <w:left w:w="15" w:type="dxa"/>
              <w:bottom w:w="0" w:type="dxa"/>
              <w:right w:w="15" w:type="dxa"/>
            </w:tcMar>
            <w:hideMark/>
          </w:tcPr>
          <w:p w:rsidR="00A413D6" w:rsidRPr="009A775F" w:rsidRDefault="00A413D6" w:rsidP="00A413D6">
            <w:pPr>
              <w:spacing w:after="0" w:line="240" w:lineRule="auto"/>
              <w:rPr>
                <w:rFonts w:ascii="Verdana" w:eastAsia="Times New Roman" w:hAnsi="Verdana" w:cs="Arial"/>
                <w:sz w:val="20"/>
                <w:szCs w:val="20"/>
                <w:lang w:val="es-ES" w:eastAsia="es-ES"/>
              </w:rPr>
            </w:pPr>
          </w:p>
        </w:tc>
      </w:tr>
      <w:tr w:rsidR="008A0529" w:rsidRPr="009A775F" w:rsidTr="00D035FB">
        <w:trPr>
          <w:trHeight w:val="275"/>
        </w:trPr>
        <w:tc>
          <w:tcPr>
            <w:tcW w:w="1558" w:type="pct"/>
            <w:tcBorders>
              <w:top w:val="nil"/>
              <w:left w:val="nil"/>
              <w:bottom w:val="nil"/>
              <w:right w:val="nil"/>
            </w:tcBorders>
            <w:shd w:val="clear" w:color="auto" w:fill="auto"/>
            <w:tcMar>
              <w:top w:w="15" w:type="dxa"/>
              <w:left w:w="144" w:type="dxa"/>
              <w:bottom w:w="0" w:type="dxa"/>
              <w:right w:w="144" w:type="dxa"/>
            </w:tcMar>
            <w:hideMark/>
          </w:tcPr>
          <w:p w:rsidR="00A413D6" w:rsidRPr="009A775F" w:rsidRDefault="00D035FB"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PFC</w:t>
            </w:r>
            <w:r w:rsidR="00472D5B" w:rsidRPr="009A775F">
              <w:rPr>
                <w:rFonts w:ascii="Verdana" w:eastAsia="Times New Roman" w:hAnsi="Verdana" w:cs="Times New Roman"/>
                <w:kern w:val="24"/>
                <w:sz w:val="20"/>
                <w:szCs w:val="20"/>
                <w:lang w:val="es-ES" w:eastAsia="es-ES"/>
              </w:rPr>
              <w:t>**</w:t>
            </w:r>
          </w:p>
        </w:tc>
        <w:tc>
          <w:tcPr>
            <w:tcW w:w="1124" w:type="pct"/>
            <w:tcBorders>
              <w:top w:val="nil"/>
              <w:left w:val="nil"/>
              <w:bottom w:val="nil"/>
              <w:right w:val="nil"/>
            </w:tcBorders>
            <w:shd w:val="clear" w:color="auto" w:fill="auto"/>
            <w:tcMar>
              <w:top w:w="15" w:type="dxa"/>
              <w:left w:w="144" w:type="dxa"/>
              <w:bottom w:w="0" w:type="dxa"/>
              <w:right w:w="144" w:type="dxa"/>
            </w:tcMar>
            <w:hideMark/>
          </w:tcPr>
          <w:p w:rsidR="00A413D6" w:rsidRPr="009A775F" w:rsidRDefault="00A413D6" w:rsidP="00361783">
            <w:pPr>
              <w:spacing w:after="0" w:line="240" w:lineRule="auto"/>
              <w:ind w:firstLine="57"/>
              <w:jc w:val="both"/>
              <w:textAlignment w:val="baseline"/>
              <w:rPr>
                <w:rFonts w:ascii="Verdana" w:eastAsia="Times New Roman" w:hAnsi="Verdana" w:cs="Arial"/>
                <w:sz w:val="20"/>
                <w:szCs w:val="20"/>
                <w:lang w:val="es-MX" w:eastAsia="es-ES"/>
              </w:rPr>
            </w:pPr>
            <w:r w:rsidRPr="009A775F">
              <w:rPr>
                <w:rFonts w:ascii="Verdana" w:eastAsia="Times New Roman" w:hAnsi="Verdana" w:cs="Times New Roman"/>
                <w:kern w:val="24"/>
                <w:sz w:val="20"/>
                <w:szCs w:val="20"/>
                <w:lang w:val="es-ES" w:eastAsia="es-ES"/>
              </w:rPr>
              <w:t>434</w:t>
            </w:r>
            <w:r w:rsidR="00D206E1" w:rsidRPr="009A775F">
              <w:rPr>
                <w:rFonts w:ascii="Verdana" w:eastAsia="Times New Roman" w:hAnsi="Verdana" w:cs="Times New Roman"/>
                <w:kern w:val="24"/>
                <w:sz w:val="20"/>
                <w:szCs w:val="20"/>
                <w:lang w:eastAsia="es-ES"/>
              </w:rPr>
              <w:t xml:space="preserve">          </w:t>
            </w:r>
            <w:r w:rsidR="00D206E1" w:rsidRPr="009A775F">
              <w:rPr>
                <w:rFonts w:ascii="Verdana" w:eastAsia="Times New Roman" w:hAnsi="Verdana" w:cs="Times New Roman"/>
                <w:kern w:val="24"/>
                <w:sz w:val="20"/>
                <w:szCs w:val="20"/>
                <w:lang w:val="es-MX" w:eastAsia="es-ES"/>
              </w:rPr>
              <w:t xml:space="preserve"> </w:t>
            </w:r>
            <w:r w:rsidR="00D206E1" w:rsidRPr="009A775F">
              <w:rPr>
                <w:rFonts w:ascii="Verdana" w:eastAsia="Times New Roman" w:hAnsi="Verdana" w:cs="Times New Roman"/>
                <w:kern w:val="24"/>
                <w:sz w:val="20"/>
                <w:szCs w:val="20"/>
                <w:lang w:eastAsia="es-ES"/>
              </w:rPr>
              <w:t xml:space="preserve"> </w:t>
            </w:r>
            <w:r w:rsidR="00D206E1" w:rsidRPr="009A775F">
              <w:rPr>
                <w:rFonts w:ascii="Verdana" w:eastAsia="Times New Roman" w:hAnsi="Verdana" w:cs="Times New Roman"/>
                <w:kern w:val="24"/>
                <w:sz w:val="20"/>
                <w:szCs w:val="20"/>
                <w:lang w:val="es-MX" w:eastAsia="es-ES"/>
              </w:rPr>
              <w:t>6,5</w:t>
            </w:r>
          </w:p>
        </w:tc>
        <w:tc>
          <w:tcPr>
            <w:tcW w:w="1406" w:type="pct"/>
            <w:tcBorders>
              <w:top w:val="nil"/>
              <w:left w:val="nil"/>
              <w:bottom w:val="nil"/>
              <w:right w:val="nil"/>
            </w:tcBorders>
            <w:shd w:val="clear" w:color="auto" w:fill="auto"/>
            <w:tcMar>
              <w:top w:w="15" w:type="dxa"/>
              <w:left w:w="144" w:type="dxa"/>
              <w:bottom w:w="0" w:type="dxa"/>
              <w:right w:w="144" w:type="dxa"/>
            </w:tcMar>
            <w:hideMark/>
          </w:tcPr>
          <w:p w:rsidR="00A413D6" w:rsidRPr="009A775F" w:rsidRDefault="00D035FB" w:rsidP="00EB7331">
            <w:pPr>
              <w:spacing w:after="0" w:line="240" w:lineRule="auto"/>
              <w:ind w:firstLine="57"/>
              <w:jc w:val="both"/>
              <w:textAlignment w:val="baseline"/>
              <w:rPr>
                <w:rFonts w:ascii="Verdana" w:eastAsia="Times New Roman" w:hAnsi="Verdana" w:cs="Arial"/>
                <w:sz w:val="20"/>
                <w:szCs w:val="20"/>
                <w:lang w:eastAsia="es-ES"/>
              </w:rPr>
            </w:pPr>
            <w:r w:rsidRPr="009A775F">
              <w:rPr>
                <w:rFonts w:ascii="Verdana" w:eastAsia="Times New Roman" w:hAnsi="Verdana" w:cs="Times New Roman"/>
                <w:kern w:val="24"/>
                <w:sz w:val="20"/>
                <w:szCs w:val="20"/>
                <w:lang w:eastAsia="es-ES"/>
              </w:rPr>
              <w:t xml:space="preserve"> </w:t>
            </w:r>
            <w:r w:rsidR="00472D5B" w:rsidRPr="009A775F">
              <w:rPr>
                <w:rFonts w:ascii="Verdana" w:eastAsia="Times New Roman" w:hAnsi="Verdana" w:cs="Times New Roman"/>
                <w:kern w:val="24"/>
                <w:sz w:val="20"/>
                <w:szCs w:val="20"/>
                <w:lang w:val="es-MX" w:eastAsia="es-ES"/>
              </w:rPr>
              <w:t xml:space="preserve">     </w:t>
            </w:r>
            <w:r w:rsidRPr="009A775F">
              <w:rPr>
                <w:rFonts w:ascii="Verdana" w:eastAsia="Times New Roman" w:hAnsi="Verdana" w:cs="Times New Roman"/>
                <w:kern w:val="24"/>
                <w:sz w:val="20"/>
                <w:szCs w:val="20"/>
                <w:lang w:eastAsia="es-ES"/>
              </w:rPr>
              <w:t xml:space="preserve"> </w:t>
            </w:r>
            <w:r w:rsidR="00A413D6" w:rsidRPr="009A775F">
              <w:rPr>
                <w:rFonts w:ascii="Verdana" w:eastAsia="Times New Roman" w:hAnsi="Verdana" w:cs="Times New Roman"/>
                <w:kern w:val="24"/>
                <w:sz w:val="20"/>
                <w:szCs w:val="20"/>
                <w:lang w:eastAsia="es-ES"/>
              </w:rPr>
              <w:t>208</w:t>
            </w:r>
            <w:r w:rsidR="00361783" w:rsidRPr="009A775F">
              <w:rPr>
                <w:rFonts w:ascii="Verdana" w:eastAsia="Times New Roman" w:hAnsi="Verdana" w:cs="Times New Roman"/>
                <w:kern w:val="24"/>
                <w:sz w:val="20"/>
                <w:szCs w:val="20"/>
                <w:lang w:eastAsia="es-ES"/>
              </w:rPr>
              <w:t xml:space="preserve">         </w:t>
            </w:r>
            <w:r w:rsidR="00361783" w:rsidRPr="009A775F">
              <w:rPr>
                <w:rFonts w:ascii="Verdana" w:eastAsia="Times New Roman" w:hAnsi="Verdana" w:cs="Times New Roman"/>
                <w:kern w:val="24"/>
                <w:sz w:val="20"/>
                <w:szCs w:val="20"/>
                <w:lang w:val="es-MX" w:eastAsia="es-ES"/>
              </w:rPr>
              <w:t xml:space="preserve"> </w:t>
            </w:r>
            <w:r w:rsidR="00D206E1" w:rsidRPr="009A775F">
              <w:rPr>
                <w:rFonts w:ascii="Verdana" w:eastAsia="Times New Roman" w:hAnsi="Verdana" w:cs="Times New Roman"/>
                <w:kern w:val="24"/>
                <w:sz w:val="20"/>
                <w:szCs w:val="20"/>
                <w:lang w:val="es-MX" w:eastAsia="es-ES"/>
              </w:rPr>
              <w:t xml:space="preserve"> </w:t>
            </w:r>
            <w:r w:rsidR="00EB7331" w:rsidRPr="009A775F">
              <w:rPr>
                <w:rFonts w:ascii="Verdana" w:eastAsia="Times New Roman" w:hAnsi="Verdana" w:cs="Times New Roman"/>
                <w:kern w:val="24"/>
                <w:sz w:val="20"/>
                <w:szCs w:val="20"/>
                <w:lang w:val="es-MX" w:eastAsia="es-ES"/>
              </w:rPr>
              <w:t>3,1</w:t>
            </w:r>
            <w:r w:rsidR="00DE1E10" w:rsidRPr="009A775F">
              <w:rPr>
                <w:rFonts w:ascii="Verdana" w:eastAsia="Times New Roman" w:hAnsi="Verdana" w:cs="Times New Roman"/>
                <w:kern w:val="24"/>
                <w:sz w:val="20"/>
                <w:szCs w:val="20"/>
                <w:lang w:eastAsia="es-ES"/>
              </w:rPr>
              <w:t xml:space="preserve">                               </w:t>
            </w:r>
          </w:p>
        </w:tc>
        <w:tc>
          <w:tcPr>
            <w:tcW w:w="890" w:type="pct"/>
            <w:tcBorders>
              <w:top w:val="nil"/>
              <w:left w:val="nil"/>
              <w:bottom w:val="nil"/>
              <w:right w:val="nil"/>
            </w:tcBorders>
            <w:shd w:val="clear" w:color="auto" w:fill="auto"/>
            <w:tcMar>
              <w:top w:w="15" w:type="dxa"/>
              <w:left w:w="144" w:type="dxa"/>
              <w:bottom w:w="0" w:type="dxa"/>
              <w:right w:w="144" w:type="dxa"/>
            </w:tcMar>
            <w:hideMark/>
          </w:tcPr>
          <w:p w:rsidR="00A413D6" w:rsidRPr="009A775F" w:rsidRDefault="00361783" w:rsidP="00EB7331">
            <w:pPr>
              <w:spacing w:after="0" w:line="240" w:lineRule="auto"/>
              <w:rPr>
                <w:rFonts w:ascii="Verdana" w:eastAsia="Times New Roman" w:hAnsi="Verdana" w:cs="Arial"/>
                <w:sz w:val="20"/>
                <w:szCs w:val="20"/>
                <w:lang w:val="es-MX" w:eastAsia="es-ES"/>
              </w:rPr>
            </w:pPr>
            <w:r w:rsidRPr="009A775F">
              <w:rPr>
                <w:rFonts w:ascii="Verdana" w:eastAsia="Times New Roman" w:hAnsi="Verdana" w:cs="Arial"/>
                <w:sz w:val="20"/>
                <w:szCs w:val="20"/>
                <w:lang w:eastAsia="es-ES"/>
              </w:rPr>
              <w:t xml:space="preserve"> 6</w:t>
            </w:r>
            <w:r w:rsidRPr="009A775F">
              <w:rPr>
                <w:rFonts w:ascii="Verdana" w:eastAsia="Times New Roman" w:hAnsi="Verdana" w:cs="Arial"/>
                <w:sz w:val="20"/>
                <w:szCs w:val="20"/>
                <w:lang w:val="es-MX" w:eastAsia="es-ES"/>
              </w:rPr>
              <w:t>42</w:t>
            </w:r>
            <w:r w:rsidR="00D93879" w:rsidRPr="009A775F">
              <w:rPr>
                <w:rFonts w:ascii="Verdana" w:eastAsia="Times New Roman" w:hAnsi="Verdana" w:cs="Arial"/>
                <w:sz w:val="20"/>
                <w:szCs w:val="20"/>
                <w:lang w:eastAsia="es-ES"/>
              </w:rPr>
              <w:t xml:space="preserve">     </w:t>
            </w:r>
            <w:r w:rsidRPr="009A775F">
              <w:rPr>
                <w:rFonts w:ascii="Verdana" w:eastAsia="Times New Roman" w:hAnsi="Verdana" w:cs="Arial"/>
                <w:sz w:val="20"/>
                <w:szCs w:val="20"/>
                <w:lang w:val="es-MX" w:eastAsia="es-ES"/>
              </w:rPr>
              <w:t xml:space="preserve"> </w:t>
            </w:r>
            <w:r w:rsidR="00D206E1" w:rsidRPr="009A775F">
              <w:rPr>
                <w:rFonts w:ascii="Verdana" w:eastAsia="Times New Roman" w:hAnsi="Verdana" w:cs="Arial"/>
                <w:sz w:val="20"/>
                <w:szCs w:val="20"/>
                <w:lang w:val="es-MX" w:eastAsia="es-ES"/>
              </w:rPr>
              <w:t xml:space="preserve"> </w:t>
            </w:r>
            <w:r w:rsidR="00EB7331" w:rsidRPr="009A775F">
              <w:rPr>
                <w:rFonts w:ascii="Verdana" w:eastAsia="Times New Roman" w:hAnsi="Verdana" w:cs="Arial"/>
                <w:sz w:val="20"/>
                <w:szCs w:val="20"/>
                <w:lang w:val="es-MX" w:eastAsia="es-ES"/>
              </w:rPr>
              <w:t xml:space="preserve"> 9,6</w:t>
            </w:r>
          </w:p>
        </w:tc>
        <w:tc>
          <w:tcPr>
            <w:tcW w:w="21" w:type="pct"/>
            <w:tcBorders>
              <w:top w:val="nil"/>
              <w:left w:val="nil"/>
              <w:bottom w:val="nil"/>
              <w:right w:val="nil"/>
            </w:tcBorders>
            <w:shd w:val="clear" w:color="auto" w:fill="auto"/>
            <w:tcMar>
              <w:top w:w="15" w:type="dxa"/>
              <w:left w:w="15" w:type="dxa"/>
              <w:bottom w:w="0" w:type="dxa"/>
              <w:right w:w="15" w:type="dxa"/>
            </w:tcMar>
            <w:hideMark/>
          </w:tcPr>
          <w:p w:rsidR="00A413D6" w:rsidRPr="009A775F" w:rsidRDefault="00A413D6" w:rsidP="00A413D6">
            <w:pPr>
              <w:spacing w:after="0" w:line="240" w:lineRule="auto"/>
              <w:rPr>
                <w:rFonts w:ascii="Verdana" w:eastAsia="Times New Roman" w:hAnsi="Verdana" w:cs="Arial"/>
                <w:sz w:val="20"/>
                <w:szCs w:val="20"/>
                <w:lang w:val="es-ES" w:eastAsia="es-ES"/>
              </w:rPr>
            </w:pPr>
          </w:p>
        </w:tc>
      </w:tr>
      <w:tr w:rsidR="008A0529" w:rsidRPr="009A775F" w:rsidTr="00D035FB">
        <w:trPr>
          <w:trHeight w:val="579"/>
        </w:trPr>
        <w:tc>
          <w:tcPr>
            <w:tcW w:w="1558" w:type="pct"/>
            <w:tcBorders>
              <w:top w:val="nil"/>
              <w:left w:val="nil"/>
              <w:bottom w:val="single" w:sz="4" w:space="0" w:color="auto"/>
              <w:right w:val="nil"/>
            </w:tcBorders>
            <w:shd w:val="clear" w:color="auto" w:fill="auto"/>
            <w:tcMar>
              <w:top w:w="15" w:type="dxa"/>
              <w:left w:w="144" w:type="dxa"/>
              <w:bottom w:w="0" w:type="dxa"/>
              <w:right w:w="144" w:type="dxa"/>
            </w:tcMar>
            <w:hideMark/>
          </w:tcPr>
          <w:p w:rsidR="00A413D6" w:rsidRPr="009A775F" w:rsidRDefault="00D035FB"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CP</w:t>
            </w:r>
            <w:r w:rsidR="00472D5B" w:rsidRPr="009A775F">
              <w:rPr>
                <w:rFonts w:ascii="Verdana" w:eastAsia="Times New Roman" w:hAnsi="Verdana" w:cs="Times New Roman"/>
                <w:kern w:val="24"/>
                <w:sz w:val="20"/>
                <w:szCs w:val="20"/>
                <w:lang w:val="es-ES" w:eastAsia="es-ES"/>
              </w:rPr>
              <w:t>***</w:t>
            </w:r>
          </w:p>
          <w:p w:rsidR="00A413D6" w:rsidRPr="009A775F" w:rsidRDefault="00D035FB"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Total</w:t>
            </w:r>
            <w:r w:rsidR="00A413D6" w:rsidRPr="009A775F">
              <w:rPr>
                <w:rFonts w:ascii="Verdana" w:eastAsia="Times New Roman" w:hAnsi="Verdana" w:cs="Times New Roman"/>
                <w:kern w:val="24"/>
                <w:sz w:val="20"/>
                <w:szCs w:val="20"/>
                <w:lang w:eastAsia="es-ES"/>
              </w:rPr>
              <w:t xml:space="preserve"> </w:t>
            </w:r>
          </w:p>
          <w:p w:rsidR="00A413D6" w:rsidRPr="009A775F" w:rsidRDefault="00A413D6" w:rsidP="00A413D6">
            <w:pPr>
              <w:spacing w:after="0" w:line="240" w:lineRule="auto"/>
              <w:ind w:firstLine="57"/>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p>
        </w:tc>
        <w:tc>
          <w:tcPr>
            <w:tcW w:w="1124" w:type="pct"/>
            <w:tcBorders>
              <w:top w:val="nil"/>
              <w:left w:val="nil"/>
              <w:bottom w:val="single" w:sz="4" w:space="0" w:color="auto"/>
              <w:right w:val="nil"/>
            </w:tcBorders>
            <w:shd w:val="clear" w:color="auto" w:fill="auto"/>
            <w:tcMar>
              <w:top w:w="15" w:type="dxa"/>
              <w:left w:w="144" w:type="dxa"/>
              <w:bottom w:w="0" w:type="dxa"/>
              <w:right w:w="144" w:type="dxa"/>
            </w:tcMar>
            <w:hideMark/>
          </w:tcPr>
          <w:p w:rsidR="00A413D6" w:rsidRPr="009A775F" w:rsidRDefault="00A413D6" w:rsidP="00A413D6">
            <w:pPr>
              <w:spacing w:after="0" w:line="240" w:lineRule="auto"/>
              <w:ind w:firstLine="57"/>
              <w:jc w:val="both"/>
              <w:textAlignment w:val="baseline"/>
              <w:rPr>
                <w:rFonts w:ascii="Verdana" w:eastAsia="Times New Roman" w:hAnsi="Verdana" w:cs="Arial"/>
                <w:sz w:val="20"/>
                <w:szCs w:val="20"/>
                <w:lang w:val="es-MX" w:eastAsia="es-ES"/>
              </w:rPr>
            </w:pPr>
            <w:r w:rsidRPr="009A775F">
              <w:rPr>
                <w:rFonts w:ascii="Verdana" w:eastAsia="Times New Roman" w:hAnsi="Verdana" w:cs="Times New Roman"/>
                <w:kern w:val="24"/>
                <w:sz w:val="20"/>
                <w:szCs w:val="20"/>
                <w:lang w:val="es-ES" w:eastAsia="es-ES"/>
              </w:rPr>
              <w:t>374</w:t>
            </w:r>
            <w:r w:rsidRPr="009A775F">
              <w:rPr>
                <w:rFonts w:ascii="Verdana" w:eastAsia="Times New Roman" w:hAnsi="Verdana" w:cs="Times New Roman"/>
                <w:kern w:val="24"/>
                <w:sz w:val="20"/>
                <w:szCs w:val="20"/>
                <w:lang w:eastAsia="es-ES"/>
              </w:rPr>
              <w:t xml:space="preserve">   </w:t>
            </w:r>
            <w:r w:rsidR="00D206E1" w:rsidRPr="009A775F">
              <w:rPr>
                <w:rFonts w:ascii="Verdana" w:eastAsia="Times New Roman" w:hAnsi="Verdana" w:cs="Times New Roman"/>
                <w:kern w:val="24"/>
                <w:sz w:val="20"/>
                <w:szCs w:val="20"/>
                <w:lang w:eastAsia="es-ES"/>
              </w:rPr>
              <w:t xml:space="preserve">         </w:t>
            </w:r>
            <w:r w:rsidR="00EB7331" w:rsidRPr="009A775F">
              <w:rPr>
                <w:rFonts w:ascii="Verdana" w:eastAsia="Times New Roman" w:hAnsi="Verdana" w:cs="Times New Roman"/>
                <w:kern w:val="24"/>
                <w:sz w:val="20"/>
                <w:szCs w:val="20"/>
                <w:lang w:val="es-MX" w:eastAsia="es-ES"/>
              </w:rPr>
              <w:t>5,6</w:t>
            </w:r>
          </w:p>
          <w:p w:rsidR="00A413D6" w:rsidRPr="009A775F" w:rsidRDefault="008265B3" w:rsidP="00EB7331">
            <w:pPr>
              <w:spacing w:after="0" w:line="240" w:lineRule="auto"/>
              <w:ind w:firstLine="57"/>
              <w:jc w:val="both"/>
              <w:textAlignment w:val="baseline"/>
              <w:rPr>
                <w:rFonts w:ascii="Verdana" w:eastAsia="Times New Roman" w:hAnsi="Verdana" w:cs="Arial"/>
                <w:sz w:val="20"/>
                <w:szCs w:val="20"/>
                <w:lang w:val="es-MX" w:eastAsia="es-ES"/>
              </w:rPr>
            </w:pPr>
            <w:r w:rsidRPr="009A775F">
              <w:rPr>
                <w:rFonts w:ascii="Verdana" w:eastAsia="Times New Roman" w:hAnsi="Verdana" w:cs="Times New Roman"/>
                <w:kern w:val="24"/>
                <w:sz w:val="20"/>
                <w:szCs w:val="20"/>
                <w:lang w:eastAsia="es-ES"/>
              </w:rPr>
              <w:t>3869</w:t>
            </w:r>
            <w:r w:rsidR="00A413D6" w:rsidRPr="009A775F">
              <w:rPr>
                <w:rFonts w:ascii="Verdana" w:eastAsia="Times New Roman" w:hAnsi="Verdana" w:cs="Times New Roman"/>
                <w:kern w:val="24"/>
                <w:sz w:val="20"/>
                <w:szCs w:val="20"/>
                <w:lang w:eastAsia="es-ES"/>
              </w:rPr>
              <w:t xml:space="preserve">   </w:t>
            </w:r>
            <w:r w:rsidR="00EB7331" w:rsidRPr="009A775F">
              <w:rPr>
                <w:rFonts w:ascii="Verdana" w:eastAsia="Times New Roman" w:hAnsi="Verdana" w:cs="Times New Roman"/>
                <w:kern w:val="24"/>
                <w:sz w:val="20"/>
                <w:szCs w:val="20"/>
                <w:lang w:eastAsia="es-ES"/>
              </w:rPr>
              <w:t xml:space="preserve">       </w:t>
            </w:r>
            <w:r w:rsidR="00EB7331" w:rsidRPr="009A775F">
              <w:rPr>
                <w:rFonts w:ascii="Verdana" w:eastAsia="Times New Roman" w:hAnsi="Verdana" w:cs="Times New Roman"/>
                <w:kern w:val="24"/>
                <w:sz w:val="20"/>
                <w:szCs w:val="20"/>
                <w:lang w:val="es-MX" w:eastAsia="es-ES"/>
              </w:rPr>
              <w:t>57.8</w:t>
            </w:r>
          </w:p>
        </w:tc>
        <w:tc>
          <w:tcPr>
            <w:tcW w:w="1406" w:type="pct"/>
            <w:tcBorders>
              <w:top w:val="nil"/>
              <w:left w:val="nil"/>
              <w:bottom w:val="single" w:sz="4" w:space="0" w:color="auto"/>
              <w:right w:val="nil"/>
            </w:tcBorders>
            <w:shd w:val="clear" w:color="auto" w:fill="auto"/>
            <w:tcMar>
              <w:top w:w="15" w:type="dxa"/>
              <w:left w:w="144" w:type="dxa"/>
              <w:bottom w:w="0" w:type="dxa"/>
              <w:right w:w="144" w:type="dxa"/>
            </w:tcMar>
            <w:hideMark/>
          </w:tcPr>
          <w:p w:rsidR="00A413D6" w:rsidRPr="009A775F" w:rsidRDefault="00D035FB" w:rsidP="00A413D6">
            <w:pPr>
              <w:spacing w:after="0" w:line="240" w:lineRule="auto"/>
              <w:ind w:firstLine="57"/>
              <w:jc w:val="both"/>
              <w:textAlignment w:val="baseline"/>
              <w:rPr>
                <w:rFonts w:ascii="Verdana" w:eastAsia="Times New Roman" w:hAnsi="Verdana" w:cs="Arial"/>
                <w:sz w:val="20"/>
                <w:szCs w:val="20"/>
                <w:lang w:val="es-MX" w:eastAsia="es-ES"/>
              </w:rPr>
            </w:pPr>
            <w:r w:rsidRPr="009A775F">
              <w:rPr>
                <w:rFonts w:ascii="Verdana" w:eastAsia="Times New Roman" w:hAnsi="Verdana" w:cs="Times New Roman"/>
                <w:kern w:val="24"/>
                <w:sz w:val="20"/>
                <w:szCs w:val="20"/>
                <w:lang w:eastAsia="es-ES"/>
              </w:rPr>
              <w:t xml:space="preserve"> </w:t>
            </w:r>
            <w:r w:rsidR="00472D5B" w:rsidRPr="009A775F">
              <w:rPr>
                <w:rFonts w:ascii="Verdana" w:eastAsia="Times New Roman" w:hAnsi="Verdana" w:cs="Times New Roman"/>
                <w:kern w:val="24"/>
                <w:sz w:val="20"/>
                <w:szCs w:val="20"/>
                <w:lang w:val="es-MX" w:eastAsia="es-ES"/>
              </w:rPr>
              <w:t xml:space="preserve">     </w:t>
            </w:r>
            <w:r w:rsidRPr="009A775F">
              <w:rPr>
                <w:rFonts w:ascii="Verdana" w:eastAsia="Times New Roman" w:hAnsi="Verdana" w:cs="Times New Roman"/>
                <w:kern w:val="24"/>
                <w:sz w:val="20"/>
                <w:szCs w:val="20"/>
                <w:lang w:eastAsia="es-ES"/>
              </w:rPr>
              <w:t xml:space="preserve"> </w:t>
            </w:r>
            <w:r w:rsidR="00A413D6" w:rsidRPr="009A775F">
              <w:rPr>
                <w:rFonts w:ascii="Verdana" w:eastAsia="Times New Roman" w:hAnsi="Verdana" w:cs="Times New Roman"/>
                <w:kern w:val="24"/>
                <w:sz w:val="20"/>
                <w:szCs w:val="20"/>
                <w:lang w:val="es-ES" w:eastAsia="es-ES"/>
              </w:rPr>
              <w:t>1</w:t>
            </w:r>
            <w:r w:rsidR="00A413D6" w:rsidRPr="009A775F">
              <w:rPr>
                <w:rFonts w:ascii="Verdana" w:eastAsia="Times New Roman" w:hAnsi="Verdana" w:cs="Times New Roman"/>
                <w:kern w:val="24"/>
                <w:sz w:val="20"/>
                <w:szCs w:val="20"/>
                <w:lang w:eastAsia="es-ES"/>
              </w:rPr>
              <w:t>99</w:t>
            </w:r>
            <w:r w:rsidR="00D206E1" w:rsidRPr="009A775F">
              <w:rPr>
                <w:rFonts w:ascii="Verdana" w:eastAsia="Times New Roman" w:hAnsi="Verdana" w:cs="Times New Roman"/>
                <w:kern w:val="24"/>
                <w:sz w:val="20"/>
                <w:szCs w:val="20"/>
                <w:lang w:eastAsia="es-ES"/>
              </w:rPr>
              <w:t xml:space="preserve">           </w:t>
            </w:r>
            <w:r w:rsidR="00EB7331" w:rsidRPr="009A775F">
              <w:rPr>
                <w:rFonts w:ascii="Verdana" w:eastAsia="Times New Roman" w:hAnsi="Verdana" w:cs="Times New Roman"/>
                <w:kern w:val="24"/>
                <w:sz w:val="20"/>
                <w:szCs w:val="20"/>
                <w:lang w:val="es-MX" w:eastAsia="es-ES"/>
              </w:rPr>
              <w:t>2,9</w:t>
            </w:r>
          </w:p>
          <w:p w:rsidR="00A413D6" w:rsidRPr="009A775F" w:rsidRDefault="00A413D6" w:rsidP="00A413D6">
            <w:pPr>
              <w:spacing w:after="0" w:line="240" w:lineRule="auto"/>
              <w:ind w:firstLine="57"/>
              <w:jc w:val="both"/>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r w:rsidR="00472D5B" w:rsidRPr="009A775F">
              <w:rPr>
                <w:rFonts w:ascii="Verdana" w:eastAsia="Times New Roman" w:hAnsi="Verdana" w:cs="Times New Roman"/>
                <w:kern w:val="24"/>
                <w:sz w:val="20"/>
                <w:szCs w:val="20"/>
                <w:lang w:val="es-MX" w:eastAsia="es-ES"/>
              </w:rPr>
              <w:t xml:space="preserve">     </w:t>
            </w:r>
            <w:r w:rsidR="008265B3" w:rsidRPr="009A775F">
              <w:rPr>
                <w:rFonts w:ascii="Verdana" w:eastAsia="Times New Roman" w:hAnsi="Verdana" w:cs="Times New Roman"/>
                <w:kern w:val="24"/>
                <w:sz w:val="20"/>
                <w:szCs w:val="20"/>
                <w:lang w:eastAsia="es-ES"/>
              </w:rPr>
              <w:t>2825</w:t>
            </w:r>
            <w:r w:rsidR="00EB7331" w:rsidRPr="009A775F">
              <w:rPr>
                <w:rFonts w:ascii="Verdana" w:eastAsia="Times New Roman" w:hAnsi="Verdana" w:cs="Times New Roman"/>
                <w:kern w:val="24"/>
                <w:sz w:val="20"/>
                <w:szCs w:val="20"/>
                <w:lang w:eastAsia="es-ES"/>
              </w:rPr>
              <w:t xml:space="preserve">         </w:t>
            </w:r>
            <w:r w:rsidR="00EB7331" w:rsidRPr="009A775F">
              <w:rPr>
                <w:rFonts w:ascii="Verdana" w:eastAsia="Times New Roman" w:hAnsi="Verdana" w:cs="Times New Roman"/>
                <w:kern w:val="24"/>
                <w:sz w:val="20"/>
                <w:szCs w:val="20"/>
                <w:lang w:val="es-MX" w:eastAsia="es-ES"/>
              </w:rPr>
              <w:t>42,2</w:t>
            </w:r>
            <w:r w:rsidRPr="009A775F">
              <w:rPr>
                <w:rFonts w:ascii="Verdana" w:eastAsia="Times New Roman" w:hAnsi="Verdana" w:cs="Times New Roman"/>
                <w:kern w:val="24"/>
                <w:sz w:val="20"/>
                <w:szCs w:val="20"/>
                <w:lang w:eastAsia="es-ES"/>
              </w:rPr>
              <w:t xml:space="preserve">      </w:t>
            </w:r>
          </w:p>
          <w:p w:rsidR="00A413D6" w:rsidRPr="009A775F" w:rsidRDefault="00A413D6" w:rsidP="00A413D6">
            <w:pPr>
              <w:spacing w:after="0" w:line="240" w:lineRule="auto"/>
              <w:ind w:firstLine="57"/>
              <w:jc w:val="both"/>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eastAsia="es-ES"/>
              </w:rPr>
              <w:t xml:space="preserve">           </w:t>
            </w:r>
          </w:p>
        </w:tc>
        <w:tc>
          <w:tcPr>
            <w:tcW w:w="890" w:type="pct"/>
            <w:tcBorders>
              <w:top w:val="nil"/>
              <w:left w:val="nil"/>
              <w:bottom w:val="single" w:sz="4" w:space="0" w:color="auto"/>
              <w:right w:val="nil"/>
            </w:tcBorders>
            <w:shd w:val="clear" w:color="auto" w:fill="auto"/>
            <w:tcMar>
              <w:top w:w="15" w:type="dxa"/>
              <w:left w:w="144" w:type="dxa"/>
              <w:bottom w:w="0" w:type="dxa"/>
              <w:right w:w="144" w:type="dxa"/>
            </w:tcMar>
            <w:hideMark/>
          </w:tcPr>
          <w:p w:rsidR="00A413D6" w:rsidRPr="009A775F" w:rsidRDefault="00DE1E10" w:rsidP="00A413D6">
            <w:pPr>
              <w:spacing w:after="0" w:line="240" w:lineRule="auto"/>
              <w:rPr>
                <w:rFonts w:ascii="Verdana" w:eastAsia="Times New Roman" w:hAnsi="Verdana" w:cs="Arial"/>
                <w:sz w:val="20"/>
                <w:szCs w:val="20"/>
                <w:lang w:val="es-MX" w:eastAsia="es-ES"/>
              </w:rPr>
            </w:pPr>
            <w:r w:rsidRPr="009A775F">
              <w:rPr>
                <w:rFonts w:ascii="Verdana" w:eastAsia="Times New Roman" w:hAnsi="Verdana" w:cs="Arial"/>
                <w:sz w:val="20"/>
                <w:szCs w:val="20"/>
                <w:lang w:eastAsia="es-ES"/>
              </w:rPr>
              <w:t xml:space="preserve"> </w:t>
            </w:r>
            <w:r w:rsidR="00361783" w:rsidRPr="009A775F">
              <w:rPr>
                <w:rFonts w:ascii="Verdana" w:eastAsia="Times New Roman" w:hAnsi="Verdana" w:cs="Arial"/>
                <w:sz w:val="20"/>
                <w:szCs w:val="20"/>
                <w:lang w:val="es-MX" w:eastAsia="es-ES"/>
              </w:rPr>
              <w:t>573</w:t>
            </w:r>
            <w:r w:rsidR="00D93879" w:rsidRPr="009A775F">
              <w:rPr>
                <w:rFonts w:ascii="Verdana" w:eastAsia="Times New Roman" w:hAnsi="Verdana" w:cs="Arial"/>
                <w:sz w:val="20"/>
                <w:szCs w:val="20"/>
                <w:lang w:eastAsia="es-ES"/>
              </w:rPr>
              <w:t xml:space="preserve">     </w:t>
            </w:r>
            <w:r w:rsidR="00D206E1" w:rsidRPr="009A775F">
              <w:rPr>
                <w:rFonts w:ascii="Verdana" w:eastAsia="Times New Roman" w:hAnsi="Verdana" w:cs="Arial"/>
                <w:sz w:val="20"/>
                <w:szCs w:val="20"/>
                <w:lang w:val="es-MX" w:eastAsia="es-ES"/>
              </w:rPr>
              <w:t xml:space="preserve">  </w:t>
            </w:r>
            <w:r w:rsidR="00EB7331" w:rsidRPr="009A775F">
              <w:rPr>
                <w:rFonts w:ascii="Verdana" w:eastAsia="Times New Roman" w:hAnsi="Verdana" w:cs="Arial"/>
                <w:sz w:val="20"/>
                <w:szCs w:val="20"/>
                <w:lang w:val="es-MX" w:eastAsia="es-ES"/>
              </w:rPr>
              <w:t xml:space="preserve"> 8,6</w:t>
            </w:r>
          </w:p>
          <w:p w:rsidR="00DE1E10" w:rsidRPr="009A775F" w:rsidRDefault="00D206E1" w:rsidP="00A413D6">
            <w:pPr>
              <w:spacing w:after="0" w:line="240" w:lineRule="auto"/>
              <w:rPr>
                <w:rFonts w:ascii="Verdana" w:eastAsia="Times New Roman" w:hAnsi="Verdana" w:cs="Arial"/>
                <w:sz w:val="20"/>
                <w:szCs w:val="20"/>
                <w:lang w:eastAsia="es-ES"/>
              </w:rPr>
            </w:pPr>
            <w:r w:rsidRPr="009A775F">
              <w:rPr>
                <w:rFonts w:ascii="Verdana" w:eastAsia="Times New Roman" w:hAnsi="Verdana" w:cs="Arial"/>
                <w:sz w:val="20"/>
                <w:szCs w:val="20"/>
                <w:lang w:eastAsia="es-ES"/>
              </w:rPr>
              <w:t>6</w:t>
            </w:r>
            <w:r w:rsidRPr="009A775F">
              <w:rPr>
                <w:rFonts w:ascii="Verdana" w:eastAsia="Times New Roman" w:hAnsi="Verdana" w:cs="Arial"/>
                <w:sz w:val="20"/>
                <w:szCs w:val="20"/>
                <w:lang w:val="es-MX" w:eastAsia="es-ES"/>
              </w:rPr>
              <w:t>6</w:t>
            </w:r>
            <w:r w:rsidR="00DE1E10" w:rsidRPr="009A775F">
              <w:rPr>
                <w:rFonts w:ascii="Verdana" w:eastAsia="Times New Roman" w:hAnsi="Verdana" w:cs="Arial"/>
                <w:sz w:val="20"/>
                <w:szCs w:val="20"/>
                <w:lang w:eastAsia="es-ES"/>
              </w:rPr>
              <w:t>94</w:t>
            </w:r>
            <w:r w:rsidR="00D93879" w:rsidRPr="009A775F">
              <w:rPr>
                <w:rFonts w:ascii="Verdana" w:eastAsia="Times New Roman" w:hAnsi="Verdana" w:cs="Arial"/>
                <w:sz w:val="20"/>
                <w:szCs w:val="20"/>
                <w:lang w:eastAsia="es-ES"/>
              </w:rPr>
              <w:t xml:space="preserve">    </w:t>
            </w:r>
            <w:r w:rsidRPr="009A775F">
              <w:rPr>
                <w:rFonts w:ascii="Verdana" w:eastAsia="Times New Roman" w:hAnsi="Verdana" w:cs="Arial"/>
                <w:sz w:val="20"/>
                <w:szCs w:val="20"/>
                <w:lang w:val="es-MX" w:eastAsia="es-ES"/>
              </w:rPr>
              <w:t xml:space="preserve"> </w:t>
            </w:r>
            <w:r w:rsidR="00D93879" w:rsidRPr="009A775F">
              <w:rPr>
                <w:rFonts w:ascii="Verdana" w:eastAsia="Times New Roman" w:hAnsi="Verdana" w:cs="Arial"/>
                <w:sz w:val="20"/>
                <w:szCs w:val="20"/>
                <w:lang w:eastAsia="es-ES"/>
              </w:rPr>
              <w:t xml:space="preserve"> </w:t>
            </w:r>
            <w:r w:rsidR="00C819CB" w:rsidRPr="009A775F">
              <w:rPr>
                <w:rFonts w:ascii="Verdana" w:eastAsia="Times New Roman" w:hAnsi="Verdana" w:cs="Arial"/>
                <w:sz w:val="20"/>
                <w:szCs w:val="20"/>
                <w:lang w:val="es-MX" w:eastAsia="es-ES"/>
              </w:rPr>
              <w:t xml:space="preserve"> </w:t>
            </w:r>
            <w:r w:rsidR="00D93879" w:rsidRPr="009A775F">
              <w:rPr>
                <w:rFonts w:ascii="Verdana" w:eastAsia="Times New Roman" w:hAnsi="Verdana" w:cs="Arial"/>
                <w:sz w:val="20"/>
                <w:szCs w:val="20"/>
                <w:lang w:eastAsia="es-ES"/>
              </w:rPr>
              <w:t>100</w:t>
            </w:r>
          </w:p>
        </w:tc>
        <w:tc>
          <w:tcPr>
            <w:tcW w:w="21" w:type="pct"/>
            <w:tcBorders>
              <w:top w:val="nil"/>
              <w:left w:val="nil"/>
              <w:bottom w:val="nil"/>
              <w:right w:val="nil"/>
            </w:tcBorders>
            <w:shd w:val="clear" w:color="auto" w:fill="auto"/>
            <w:tcMar>
              <w:top w:w="15" w:type="dxa"/>
              <w:left w:w="15" w:type="dxa"/>
              <w:bottom w:w="0" w:type="dxa"/>
              <w:right w:w="15" w:type="dxa"/>
            </w:tcMar>
            <w:hideMark/>
          </w:tcPr>
          <w:p w:rsidR="00A413D6" w:rsidRPr="009A775F" w:rsidRDefault="00A413D6" w:rsidP="00A413D6">
            <w:pPr>
              <w:spacing w:after="0" w:line="240" w:lineRule="auto"/>
              <w:rPr>
                <w:rFonts w:ascii="Verdana" w:eastAsia="Times New Roman" w:hAnsi="Verdana" w:cs="Arial"/>
                <w:sz w:val="20"/>
                <w:szCs w:val="20"/>
                <w:lang w:val="es-ES" w:eastAsia="es-ES"/>
              </w:rPr>
            </w:pPr>
          </w:p>
        </w:tc>
      </w:tr>
    </w:tbl>
    <w:p w:rsidR="00832737" w:rsidRPr="009A775F" w:rsidRDefault="00832737" w:rsidP="00360753">
      <w:pPr>
        <w:spacing w:after="0" w:line="240" w:lineRule="auto"/>
        <w:jc w:val="both"/>
        <w:rPr>
          <w:rFonts w:ascii="Verdana" w:hAnsi="Verdana"/>
          <w:sz w:val="20"/>
          <w:szCs w:val="20"/>
          <w:lang w:val="es-ES"/>
        </w:rPr>
      </w:pPr>
      <w:r w:rsidRPr="009A775F">
        <w:rPr>
          <w:rFonts w:ascii="Verdana" w:hAnsi="Verdana"/>
          <w:sz w:val="20"/>
          <w:szCs w:val="20"/>
          <w:lang w:val="es-ES"/>
        </w:rPr>
        <w:t>*Concentrado de Eritrocitos.</w:t>
      </w:r>
      <w:r w:rsidRPr="009A775F">
        <w:rPr>
          <w:rFonts w:ascii="Verdana" w:eastAsia="Times New Roman" w:hAnsi="Verdana" w:cs="Times New Roman"/>
          <w:kern w:val="24"/>
          <w:sz w:val="20"/>
          <w:szCs w:val="20"/>
          <w:lang w:val="es-ES" w:eastAsia="es-ES"/>
        </w:rPr>
        <w:t xml:space="preserve"> **Plasma fresco Congelado. ***Concentrado de Plaquetas.</w:t>
      </w:r>
    </w:p>
    <w:p w:rsidR="008A0529" w:rsidRPr="009A775F" w:rsidRDefault="008A0529" w:rsidP="008A0529">
      <w:pPr>
        <w:spacing w:after="0" w:line="240" w:lineRule="auto"/>
        <w:jc w:val="both"/>
        <w:rPr>
          <w:rFonts w:ascii="Verdana" w:hAnsi="Verdana"/>
          <w:sz w:val="20"/>
          <w:szCs w:val="20"/>
          <w:lang w:val="es-ES"/>
        </w:rPr>
      </w:pPr>
      <w:r w:rsidRPr="009A775F">
        <w:rPr>
          <w:rFonts w:ascii="Verdana" w:hAnsi="Verdana"/>
          <w:sz w:val="20"/>
          <w:szCs w:val="20"/>
          <w:lang w:val="es-ES"/>
        </w:rPr>
        <w:t>Fuente: Informes del Comité Transfusional Hospitalario</w:t>
      </w:r>
    </w:p>
    <w:p w:rsidR="00832737" w:rsidRPr="009A775F" w:rsidRDefault="00832737" w:rsidP="00360753">
      <w:pPr>
        <w:spacing w:after="0" w:line="240" w:lineRule="auto"/>
        <w:jc w:val="both"/>
        <w:rPr>
          <w:rFonts w:ascii="Verdana" w:hAnsi="Verdana"/>
          <w:sz w:val="20"/>
          <w:szCs w:val="20"/>
          <w:lang w:val="es-ES"/>
        </w:rPr>
      </w:pPr>
    </w:p>
    <w:p w:rsidR="00C819CB" w:rsidRPr="009A775F" w:rsidRDefault="00832737" w:rsidP="00360753">
      <w:pPr>
        <w:spacing w:after="0" w:line="240" w:lineRule="auto"/>
        <w:jc w:val="both"/>
        <w:rPr>
          <w:rFonts w:ascii="Verdana" w:hAnsi="Verdana"/>
          <w:sz w:val="20"/>
          <w:szCs w:val="20"/>
          <w:lang w:val="es-MX"/>
        </w:rPr>
      </w:pPr>
      <w:r w:rsidRPr="009A775F">
        <w:rPr>
          <w:rFonts w:ascii="Verdana" w:hAnsi="Verdana"/>
          <w:sz w:val="20"/>
          <w:szCs w:val="20"/>
          <w:lang w:val="es-ES"/>
        </w:rPr>
        <w:t>En la T</w:t>
      </w:r>
      <w:r w:rsidR="00BA1476" w:rsidRPr="009A775F">
        <w:rPr>
          <w:rFonts w:ascii="Verdana" w:hAnsi="Verdana"/>
          <w:sz w:val="20"/>
          <w:szCs w:val="20"/>
          <w:lang w:val="es-ES"/>
        </w:rPr>
        <w:t>abla</w:t>
      </w:r>
      <w:r w:rsidR="00BB185A" w:rsidRPr="009A775F">
        <w:rPr>
          <w:rFonts w:ascii="Verdana" w:hAnsi="Verdana"/>
          <w:sz w:val="20"/>
          <w:szCs w:val="20"/>
          <w:lang w:val="es-ES"/>
        </w:rPr>
        <w:t xml:space="preserve"> 3</w:t>
      </w:r>
      <w:r w:rsidR="00BA1476" w:rsidRPr="009A775F">
        <w:rPr>
          <w:rFonts w:ascii="Verdana" w:hAnsi="Verdana"/>
          <w:sz w:val="20"/>
          <w:szCs w:val="20"/>
          <w:lang w:val="es-ES"/>
        </w:rPr>
        <w:t xml:space="preserve"> </w:t>
      </w:r>
      <w:r w:rsidRPr="009A775F">
        <w:rPr>
          <w:rFonts w:ascii="Verdana" w:hAnsi="Verdana"/>
          <w:sz w:val="20"/>
          <w:szCs w:val="20"/>
          <w:lang w:val="es-ES"/>
        </w:rPr>
        <w:t xml:space="preserve">se evidencia como fue en ambos años el CE el componente más </w:t>
      </w:r>
      <w:r w:rsidR="00361783" w:rsidRPr="009A775F">
        <w:rPr>
          <w:rFonts w:ascii="Verdana" w:hAnsi="Verdana"/>
          <w:sz w:val="20"/>
          <w:szCs w:val="20"/>
          <w:lang w:val="es-ES"/>
        </w:rPr>
        <w:t>usado,</w:t>
      </w:r>
      <w:r w:rsidRPr="009A775F">
        <w:rPr>
          <w:rFonts w:ascii="Verdana" w:hAnsi="Verdana"/>
          <w:sz w:val="20"/>
          <w:szCs w:val="20"/>
          <w:lang w:val="es-ES"/>
        </w:rPr>
        <w:t xml:space="preserve"> siguiéndole en</w:t>
      </w:r>
      <w:r w:rsidR="00361783" w:rsidRPr="009A775F">
        <w:rPr>
          <w:rFonts w:ascii="Verdana" w:hAnsi="Verdana"/>
          <w:sz w:val="20"/>
          <w:szCs w:val="20"/>
          <w:lang w:val="es-ES"/>
        </w:rPr>
        <w:t xml:space="preserve"> una </w:t>
      </w:r>
      <w:r w:rsidRPr="009A775F">
        <w:rPr>
          <w:rFonts w:ascii="Verdana" w:hAnsi="Verdana"/>
          <w:sz w:val="20"/>
          <w:szCs w:val="20"/>
          <w:lang w:val="es-ES"/>
        </w:rPr>
        <w:t xml:space="preserve"> frecuencia</w:t>
      </w:r>
      <w:r w:rsidR="00361783" w:rsidRPr="009A775F">
        <w:rPr>
          <w:rFonts w:ascii="Verdana" w:hAnsi="Verdana"/>
          <w:sz w:val="20"/>
          <w:szCs w:val="20"/>
          <w:lang w:val="es-ES"/>
        </w:rPr>
        <w:t xml:space="preserve"> mucho menor</w:t>
      </w:r>
      <w:r w:rsidRPr="009A775F">
        <w:rPr>
          <w:rFonts w:ascii="Verdana" w:hAnsi="Verdana"/>
          <w:sz w:val="20"/>
          <w:szCs w:val="20"/>
          <w:lang w:val="es-ES"/>
        </w:rPr>
        <w:t xml:space="preserve"> el </w:t>
      </w:r>
      <w:r w:rsidR="00F32664" w:rsidRPr="009A775F">
        <w:rPr>
          <w:rFonts w:ascii="Verdana" w:hAnsi="Verdana"/>
          <w:sz w:val="20"/>
          <w:szCs w:val="20"/>
          <w:lang w:val="es-ES"/>
        </w:rPr>
        <w:t>PFC</w:t>
      </w:r>
      <w:r w:rsidR="00C637CA" w:rsidRPr="009A775F">
        <w:rPr>
          <w:rFonts w:ascii="Verdana" w:hAnsi="Verdana"/>
          <w:sz w:val="20"/>
          <w:szCs w:val="20"/>
          <w:lang w:val="es-ES"/>
        </w:rPr>
        <w:t xml:space="preserve"> y</w:t>
      </w:r>
      <w:r w:rsidR="00F32664" w:rsidRPr="009A775F">
        <w:rPr>
          <w:rFonts w:ascii="Verdana" w:hAnsi="Verdana"/>
          <w:sz w:val="20"/>
          <w:szCs w:val="20"/>
          <w:lang w:val="es-ES"/>
        </w:rPr>
        <w:t xml:space="preserve"> por </w:t>
      </w:r>
      <w:r w:rsidR="00E8563B" w:rsidRPr="009A775F">
        <w:rPr>
          <w:rFonts w:ascii="Verdana" w:hAnsi="Verdana"/>
          <w:sz w:val="20"/>
          <w:szCs w:val="20"/>
          <w:lang w:val="es-ES"/>
        </w:rPr>
        <w:t xml:space="preserve">último </w:t>
      </w:r>
      <w:r w:rsidR="009844D2" w:rsidRPr="009A775F">
        <w:rPr>
          <w:rFonts w:ascii="Verdana" w:hAnsi="Verdana"/>
          <w:sz w:val="20"/>
          <w:szCs w:val="20"/>
          <w:lang w:val="es-ES"/>
        </w:rPr>
        <w:t>CP.</w:t>
      </w:r>
      <w:r w:rsidR="009844D2" w:rsidRPr="009A775F">
        <w:rPr>
          <w:rFonts w:ascii="Verdana" w:hAnsi="Verdana"/>
          <w:sz w:val="20"/>
          <w:szCs w:val="20"/>
          <w:lang w:val="es-MX"/>
        </w:rPr>
        <w:t>Se destaca el uso excesivo en el 2014 con respecto al 2015 del PFC y en el CP</w:t>
      </w:r>
      <w:r w:rsidR="00C819CB" w:rsidRPr="009A775F">
        <w:rPr>
          <w:rFonts w:ascii="Verdana" w:hAnsi="Verdana"/>
          <w:sz w:val="20"/>
          <w:szCs w:val="20"/>
          <w:lang w:val="es-MX"/>
        </w:rPr>
        <w:t>, comportándose alrededor de un 50% superior  en ambos casos.</w:t>
      </w:r>
    </w:p>
    <w:p w:rsidR="00BB185A" w:rsidRPr="009A775F" w:rsidRDefault="00BB185A" w:rsidP="00360753">
      <w:pPr>
        <w:spacing w:after="0" w:line="240" w:lineRule="auto"/>
        <w:jc w:val="both"/>
        <w:rPr>
          <w:rFonts w:ascii="Verdana" w:hAnsi="Verdana"/>
          <w:sz w:val="20"/>
          <w:szCs w:val="20"/>
          <w:lang w:val="es-MX"/>
        </w:rPr>
      </w:pPr>
    </w:p>
    <w:p w:rsidR="00BB185A" w:rsidRPr="009A775F" w:rsidRDefault="00BB185A" w:rsidP="00BB185A">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 xml:space="preserve">El 36.6% de la hemoglobinas realizadas estuvieron en la categoría de igual o menor que 7g/l lo que se corresponde con una de las indicaciones de </w:t>
      </w:r>
      <w:r w:rsidR="002D1FA8" w:rsidRPr="009A775F">
        <w:rPr>
          <w:rFonts w:ascii="Verdana" w:hAnsi="Verdana" w:cs="Arial"/>
          <w:sz w:val="20"/>
          <w:szCs w:val="20"/>
          <w:lang w:val="es-ES"/>
        </w:rPr>
        <w:t>CE</w:t>
      </w:r>
      <w:r w:rsidRPr="009A775F">
        <w:rPr>
          <w:rFonts w:ascii="Verdana" w:hAnsi="Verdana" w:cs="Arial"/>
          <w:sz w:val="20"/>
          <w:szCs w:val="20"/>
          <w:lang w:val="es-ES"/>
        </w:rPr>
        <w:t>.</w:t>
      </w:r>
    </w:p>
    <w:p w:rsidR="00BB185A" w:rsidRPr="009A775F" w:rsidRDefault="00BB185A" w:rsidP="00360753">
      <w:pPr>
        <w:spacing w:after="0" w:line="240" w:lineRule="auto"/>
        <w:jc w:val="both"/>
        <w:rPr>
          <w:rFonts w:ascii="Verdana" w:hAnsi="Verdana"/>
          <w:sz w:val="20"/>
          <w:szCs w:val="20"/>
          <w:lang w:val="es-ES"/>
        </w:rPr>
      </w:pPr>
    </w:p>
    <w:p w:rsidR="0049481D" w:rsidRPr="009A775F" w:rsidRDefault="00BB185A" w:rsidP="00360753">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Tabla 4</w:t>
      </w:r>
      <w:r w:rsidR="00765B55" w:rsidRPr="009A775F">
        <w:rPr>
          <w:rFonts w:ascii="Verdana" w:hAnsi="Verdana" w:cs="Arial"/>
          <w:sz w:val="20"/>
          <w:szCs w:val="20"/>
          <w:lang w:val="es-ES"/>
        </w:rPr>
        <w:t>. Pacientes transfundidos por servicios en el HLCR 2015</w:t>
      </w:r>
    </w:p>
    <w:tbl>
      <w:tblPr>
        <w:tblW w:w="3881" w:type="pct"/>
        <w:shd w:val="clear" w:color="auto" w:fill="FFFFFF" w:themeFill="background1"/>
        <w:tblCellMar>
          <w:left w:w="0" w:type="dxa"/>
          <w:right w:w="0" w:type="dxa"/>
        </w:tblCellMar>
        <w:tblLook w:val="0420" w:firstRow="1" w:lastRow="0" w:firstColumn="0" w:lastColumn="0" w:noHBand="0" w:noVBand="1"/>
      </w:tblPr>
      <w:tblGrid>
        <w:gridCol w:w="2819"/>
        <w:gridCol w:w="4670"/>
      </w:tblGrid>
      <w:tr w:rsidR="008A0529" w:rsidRPr="009A775F" w:rsidTr="00AB4BB9">
        <w:trPr>
          <w:trHeight w:val="249"/>
        </w:trPr>
        <w:tc>
          <w:tcPr>
            <w:tcW w:w="1882" w:type="pct"/>
            <w:vMerge w:val="restart"/>
            <w:tcBorders>
              <w:top w:val="single" w:sz="4" w:space="0" w:color="auto"/>
            </w:tcBorders>
            <w:shd w:val="clear" w:color="auto" w:fill="FFFFFF" w:themeFill="background1"/>
            <w:tcMar>
              <w:top w:w="72" w:type="dxa"/>
              <w:left w:w="144" w:type="dxa"/>
              <w:bottom w:w="72" w:type="dxa"/>
              <w:right w:w="144" w:type="dxa"/>
            </w:tcMar>
            <w:hideMark/>
          </w:tcPr>
          <w:p w:rsidR="00765B55" w:rsidRPr="009A775F" w:rsidRDefault="00765B55" w:rsidP="00765B55">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val="es-ES" w:eastAsia="es-ES"/>
              </w:rPr>
              <w:t xml:space="preserve">                      Servicios</w:t>
            </w:r>
          </w:p>
        </w:tc>
        <w:tc>
          <w:tcPr>
            <w:tcW w:w="3118" w:type="pct"/>
            <w:tcBorders>
              <w:top w:val="single" w:sz="4" w:space="0" w:color="auto"/>
              <w:bottom w:val="single" w:sz="4" w:space="0" w:color="auto"/>
            </w:tcBorders>
            <w:shd w:val="clear" w:color="auto" w:fill="FFFFFF" w:themeFill="background1"/>
            <w:tcMar>
              <w:top w:w="72" w:type="dxa"/>
              <w:left w:w="144" w:type="dxa"/>
              <w:bottom w:w="72" w:type="dxa"/>
              <w:right w:w="144" w:type="dxa"/>
            </w:tcMar>
            <w:hideMark/>
          </w:tcPr>
          <w:p w:rsidR="00765B55" w:rsidRPr="009A775F" w:rsidRDefault="00765B55" w:rsidP="00765B55">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bCs/>
                <w:kern w:val="24"/>
                <w:sz w:val="20"/>
                <w:szCs w:val="20"/>
                <w:lang w:eastAsia="es-ES"/>
              </w:rPr>
              <w:t xml:space="preserve">  </w:t>
            </w:r>
            <w:r w:rsidRPr="009A775F">
              <w:rPr>
                <w:rFonts w:ascii="Verdana" w:eastAsia="Times New Roman" w:hAnsi="Verdana" w:cs="Arial"/>
                <w:bCs/>
                <w:kern w:val="24"/>
                <w:sz w:val="20"/>
                <w:szCs w:val="20"/>
                <w:lang w:val="es-ES" w:eastAsia="es-ES"/>
              </w:rPr>
              <w:t>Pacientes  transfundidos</w:t>
            </w:r>
          </w:p>
        </w:tc>
      </w:tr>
      <w:tr w:rsidR="008A0529" w:rsidRPr="009A775F" w:rsidTr="00AB4BB9">
        <w:trPr>
          <w:trHeight w:val="268"/>
        </w:trPr>
        <w:tc>
          <w:tcPr>
            <w:tcW w:w="1882" w:type="pct"/>
            <w:vMerge/>
            <w:tcBorders>
              <w:bottom w:val="single" w:sz="4" w:space="0" w:color="auto"/>
            </w:tcBorders>
            <w:shd w:val="clear" w:color="auto" w:fill="FFFFFF" w:themeFill="background1"/>
            <w:tcMar>
              <w:top w:w="72" w:type="dxa"/>
              <w:left w:w="144" w:type="dxa"/>
              <w:bottom w:w="72" w:type="dxa"/>
              <w:right w:w="144" w:type="dxa"/>
            </w:tcMar>
          </w:tcPr>
          <w:p w:rsidR="00765B55" w:rsidRPr="009A775F" w:rsidRDefault="00765B55" w:rsidP="00765B55">
            <w:pPr>
              <w:spacing w:after="0" w:line="240" w:lineRule="auto"/>
              <w:rPr>
                <w:rFonts w:ascii="Verdana" w:eastAsia="Times New Roman" w:hAnsi="Verdana" w:cs="Arial"/>
                <w:bCs/>
                <w:kern w:val="24"/>
                <w:sz w:val="20"/>
                <w:szCs w:val="20"/>
                <w:lang w:eastAsia="es-ES"/>
              </w:rPr>
            </w:pPr>
          </w:p>
        </w:tc>
        <w:tc>
          <w:tcPr>
            <w:tcW w:w="3118" w:type="pct"/>
            <w:tcBorders>
              <w:top w:val="single" w:sz="4" w:space="0" w:color="auto"/>
              <w:bottom w:val="single" w:sz="4" w:space="0" w:color="auto"/>
            </w:tcBorders>
            <w:shd w:val="clear" w:color="auto" w:fill="FFFFFF" w:themeFill="background1"/>
            <w:tcMar>
              <w:top w:w="72" w:type="dxa"/>
              <w:left w:w="144" w:type="dxa"/>
              <w:bottom w:w="72" w:type="dxa"/>
              <w:right w:w="144" w:type="dxa"/>
            </w:tcMar>
          </w:tcPr>
          <w:p w:rsidR="00765B55" w:rsidRPr="009A775F" w:rsidRDefault="00765B55" w:rsidP="00765B55">
            <w:pPr>
              <w:spacing w:after="0" w:line="240" w:lineRule="auto"/>
              <w:rPr>
                <w:rFonts w:ascii="Verdana" w:eastAsia="Times New Roman" w:hAnsi="Verdana" w:cs="Arial"/>
                <w:bCs/>
                <w:kern w:val="24"/>
                <w:sz w:val="20"/>
                <w:szCs w:val="20"/>
                <w:lang w:val="es-ES" w:eastAsia="es-ES"/>
              </w:rPr>
            </w:pPr>
            <w:r w:rsidRPr="009A775F">
              <w:rPr>
                <w:rFonts w:ascii="Verdana" w:eastAsia="Times New Roman" w:hAnsi="Verdana" w:cs="Arial"/>
                <w:bCs/>
                <w:kern w:val="24"/>
                <w:sz w:val="20"/>
                <w:szCs w:val="20"/>
                <w:lang w:val="es-ES" w:eastAsia="es-ES"/>
              </w:rPr>
              <w:t xml:space="preserve">           FA              FR</w:t>
            </w:r>
          </w:p>
        </w:tc>
      </w:tr>
      <w:tr w:rsidR="008A0529" w:rsidRPr="009A775F" w:rsidTr="000B0232">
        <w:trPr>
          <w:trHeight w:val="274"/>
        </w:trPr>
        <w:tc>
          <w:tcPr>
            <w:tcW w:w="1882" w:type="pct"/>
            <w:tcBorders>
              <w:top w:val="single" w:sz="4" w:space="0" w:color="auto"/>
            </w:tcBorders>
            <w:shd w:val="clear" w:color="auto" w:fill="FFFFFF" w:themeFill="background1"/>
            <w:tcMar>
              <w:top w:w="72" w:type="dxa"/>
              <w:left w:w="144" w:type="dxa"/>
              <w:bottom w:w="72" w:type="dxa"/>
              <w:right w:w="144" w:type="dxa"/>
            </w:tcMar>
            <w:hideMark/>
          </w:tcPr>
          <w:p w:rsidR="00765B55" w:rsidRPr="009A775F" w:rsidRDefault="00765B55" w:rsidP="00765B55">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M</w:t>
            </w:r>
            <w:proofErr w:type="spellStart"/>
            <w:r w:rsidRPr="009A775F">
              <w:rPr>
                <w:rFonts w:ascii="Verdana" w:eastAsia="Times New Roman" w:hAnsi="Verdana" w:cs="Arial"/>
                <w:kern w:val="24"/>
                <w:sz w:val="20"/>
                <w:szCs w:val="20"/>
                <w:lang w:val="es-ES" w:eastAsia="es-ES"/>
              </w:rPr>
              <w:t>edicina</w:t>
            </w:r>
            <w:proofErr w:type="spellEnd"/>
          </w:p>
        </w:tc>
        <w:tc>
          <w:tcPr>
            <w:tcW w:w="3118" w:type="pct"/>
            <w:tcBorders>
              <w:top w:val="single" w:sz="4" w:space="0" w:color="auto"/>
            </w:tcBorders>
            <w:shd w:val="clear" w:color="auto" w:fill="FFFFFF" w:themeFill="background1"/>
            <w:tcMar>
              <w:top w:w="72" w:type="dxa"/>
              <w:left w:w="144" w:type="dxa"/>
              <w:bottom w:w="72" w:type="dxa"/>
              <w:right w:w="144" w:type="dxa"/>
            </w:tcMar>
            <w:hideMark/>
          </w:tcPr>
          <w:p w:rsidR="00765B55" w:rsidRPr="009A775F" w:rsidRDefault="00765B55"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559</w:t>
            </w:r>
            <w:r w:rsidR="00C819CB" w:rsidRPr="009A775F">
              <w:rPr>
                <w:rFonts w:ascii="Verdana" w:eastAsia="Times New Roman" w:hAnsi="Verdana" w:cs="Arial"/>
                <w:kern w:val="24"/>
                <w:sz w:val="20"/>
                <w:szCs w:val="20"/>
                <w:lang w:val="es-MX" w:eastAsia="es-ES"/>
              </w:rPr>
              <w:t xml:space="preserve">    </w:t>
            </w:r>
            <w:r w:rsidR="00C819CB" w:rsidRPr="009A775F">
              <w:rPr>
                <w:rFonts w:ascii="Verdana" w:eastAsia="Times New Roman" w:hAnsi="Verdana" w:cs="Arial"/>
                <w:kern w:val="24"/>
                <w:sz w:val="20"/>
                <w:szCs w:val="20"/>
                <w:lang w:val="es-MX" w:eastAsia="es-ES"/>
              </w:rPr>
              <w:tab/>
            </w:r>
            <w:r w:rsidR="00020694" w:rsidRPr="009A775F">
              <w:rPr>
                <w:rFonts w:ascii="Verdana" w:eastAsia="Times New Roman" w:hAnsi="Verdana" w:cs="Arial"/>
                <w:kern w:val="24"/>
                <w:sz w:val="20"/>
                <w:szCs w:val="20"/>
                <w:lang w:val="es-MX" w:eastAsia="es-ES"/>
              </w:rPr>
              <w:t>34,4</w:t>
            </w:r>
          </w:p>
        </w:tc>
      </w:tr>
      <w:tr w:rsidR="008A0529" w:rsidRPr="009A775F" w:rsidTr="000B0232">
        <w:trPr>
          <w:trHeight w:val="133"/>
        </w:trPr>
        <w:tc>
          <w:tcPr>
            <w:tcW w:w="1882" w:type="pct"/>
            <w:shd w:val="clear" w:color="auto" w:fill="FFFFFF" w:themeFill="background1"/>
            <w:tcMar>
              <w:top w:w="72" w:type="dxa"/>
              <w:left w:w="144" w:type="dxa"/>
              <w:bottom w:w="72" w:type="dxa"/>
              <w:right w:w="144" w:type="dxa"/>
            </w:tcMar>
            <w:hideMark/>
          </w:tcPr>
          <w:p w:rsidR="00765B55" w:rsidRPr="009A775F" w:rsidRDefault="00765B55" w:rsidP="00765B55">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C</w:t>
            </w:r>
            <w:proofErr w:type="spellStart"/>
            <w:r w:rsidRPr="009A775F">
              <w:rPr>
                <w:rFonts w:ascii="Verdana" w:eastAsia="Times New Roman" w:hAnsi="Verdana" w:cs="Arial"/>
                <w:kern w:val="24"/>
                <w:sz w:val="20"/>
                <w:szCs w:val="20"/>
                <w:lang w:val="es-ES" w:eastAsia="es-ES"/>
              </w:rPr>
              <w:t>uerpo</w:t>
            </w:r>
            <w:proofErr w:type="spellEnd"/>
            <w:r w:rsidRPr="009A775F">
              <w:rPr>
                <w:rFonts w:ascii="Verdana" w:eastAsia="Times New Roman" w:hAnsi="Verdana" w:cs="Arial"/>
                <w:kern w:val="24"/>
                <w:sz w:val="20"/>
                <w:szCs w:val="20"/>
                <w:lang w:val="es-ES" w:eastAsia="es-ES"/>
              </w:rPr>
              <w:t xml:space="preserve"> de Guardia</w:t>
            </w:r>
          </w:p>
        </w:tc>
        <w:tc>
          <w:tcPr>
            <w:tcW w:w="3118" w:type="pct"/>
            <w:shd w:val="clear" w:color="auto" w:fill="FFFFFF" w:themeFill="background1"/>
            <w:tcMar>
              <w:top w:w="72" w:type="dxa"/>
              <w:left w:w="144" w:type="dxa"/>
              <w:bottom w:w="72" w:type="dxa"/>
              <w:right w:w="144" w:type="dxa"/>
            </w:tcMar>
            <w:hideMark/>
          </w:tcPr>
          <w:p w:rsidR="00765B55" w:rsidRPr="009A775F" w:rsidRDefault="00765B55"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249</w:t>
            </w:r>
            <w:r w:rsidR="00C819CB" w:rsidRPr="009A775F">
              <w:rPr>
                <w:rFonts w:ascii="Verdana" w:eastAsia="Times New Roman" w:hAnsi="Verdana" w:cs="Arial"/>
                <w:kern w:val="24"/>
                <w:sz w:val="20"/>
                <w:szCs w:val="20"/>
                <w:lang w:eastAsia="es-ES"/>
              </w:rPr>
              <w:tab/>
            </w:r>
            <w:r w:rsidR="00C819CB" w:rsidRPr="009A775F">
              <w:rPr>
                <w:rFonts w:ascii="Verdana" w:eastAsia="Times New Roman" w:hAnsi="Verdana" w:cs="Arial"/>
                <w:kern w:val="24"/>
                <w:sz w:val="20"/>
                <w:szCs w:val="20"/>
                <w:lang w:val="es-MX" w:eastAsia="es-ES"/>
              </w:rPr>
              <w:t>15,3</w:t>
            </w:r>
          </w:p>
        </w:tc>
      </w:tr>
      <w:tr w:rsidR="008A0529" w:rsidRPr="009A775F" w:rsidTr="000B0232">
        <w:trPr>
          <w:trHeight w:val="133"/>
        </w:trPr>
        <w:tc>
          <w:tcPr>
            <w:tcW w:w="1882" w:type="pct"/>
            <w:shd w:val="clear" w:color="auto" w:fill="FFFFFF" w:themeFill="background1"/>
            <w:tcMar>
              <w:top w:w="72" w:type="dxa"/>
              <w:left w:w="144" w:type="dxa"/>
              <w:bottom w:w="72" w:type="dxa"/>
              <w:right w:w="144" w:type="dxa"/>
            </w:tcMar>
          </w:tcPr>
          <w:p w:rsidR="00C819CB" w:rsidRPr="009A775F" w:rsidRDefault="00C819CB" w:rsidP="00D860EF">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kern w:val="24"/>
                <w:sz w:val="20"/>
                <w:szCs w:val="20"/>
                <w:lang w:val="es-ES" w:eastAsia="es-ES"/>
              </w:rPr>
              <w:t>UCI</w:t>
            </w:r>
            <w:r w:rsidR="00020694" w:rsidRPr="009A775F">
              <w:rPr>
                <w:rFonts w:ascii="Verdana" w:eastAsia="Times New Roman" w:hAnsi="Verdana" w:cs="Arial"/>
                <w:kern w:val="24"/>
                <w:sz w:val="20"/>
                <w:szCs w:val="20"/>
                <w:lang w:val="es-ES" w:eastAsia="es-ES"/>
              </w:rPr>
              <w:t>*</w:t>
            </w:r>
          </w:p>
        </w:tc>
        <w:tc>
          <w:tcPr>
            <w:tcW w:w="3118" w:type="pct"/>
            <w:shd w:val="clear" w:color="auto" w:fill="FFFFFF" w:themeFill="background1"/>
            <w:tcMar>
              <w:top w:w="72" w:type="dxa"/>
              <w:left w:w="144" w:type="dxa"/>
              <w:bottom w:w="72" w:type="dxa"/>
              <w:right w:w="144" w:type="dxa"/>
            </w:tcMar>
          </w:tcPr>
          <w:p w:rsidR="00C819CB" w:rsidRPr="009A775F" w:rsidRDefault="00C819CB" w:rsidP="00D860EF">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203</w:t>
            </w:r>
            <w:r w:rsidRPr="009A775F">
              <w:rPr>
                <w:rFonts w:ascii="Verdana" w:eastAsia="Times New Roman" w:hAnsi="Verdana" w:cs="Arial"/>
                <w:kern w:val="24"/>
                <w:sz w:val="20"/>
                <w:szCs w:val="20"/>
                <w:lang w:eastAsia="es-ES"/>
              </w:rPr>
              <w:tab/>
            </w:r>
            <w:r w:rsidR="00020694" w:rsidRPr="009A775F">
              <w:rPr>
                <w:rFonts w:ascii="Verdana" w:eastAsia="Times New Roman" w:hAnsi="Verdana" w:cs="Arial"/>
                <w:kern w:val="24"/>
                <w:sz w:val="20"/>
                <w:szCs w:val="20"/>
                <w:lang w:val="es-MX" w:eastAsia="es-ES"/>
              </w:rPr>
              <w:t>12,5</w:t>
            </w:r>
          </w:p>
        </w:tc>
      </w:tr>
      <w:tr w:rsidR="008A0529" w:rsidRPr="009A775F" w:rsidTr="000B0232">
        <w:trPr>
          <w:trHeight w:val="309"/>
        </w:trPr>
        <w:tc>
          <w:tcPr>
            <w:tcW w:w="1882" w:type="pct"/>
            <w:shd w:val="clear" w:color="auto" w:fill="FFFFFF" w:themeFill="background1"/>
            <w:tcMar>
              <w:top w:w="72" w:type="dxa"/>
              <w:left w:w="144" w:type="dxa"/>
              <w:bottom w:w="72" w:type="dxa"/>
              <w:right w:w="144" w:type="dxa"/>
            </w:tcMar>
            <w:hideMark/>
          </w:tcPr>
          <w:p w:rsidR="00C819CB" w:rsidRPr="009A775F" w:rsidRDefault="00C819CB" w:rsidP="00765B55">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G</w:t>
            </w:r>
            <w:proofErr w:type="spellStart"/>
            <w:r w:rsidRPr="009A775F">
              <w:rPr>
                <w:rFonts w:ascii="Verdana" w:eastAsia="Times New Roman" w:hAnsi="Verdana" w:cs="Arial"/>
                <w:kern w:val="24"/>
                <w:sz w:val="20"/>
                <w:szCs w:val="20"/>
                <w:lang w:val="es-ES" w:eastAsia="es-ES"/>
              </w:rPr>
              <w:t>eriatría</w:t>
            </w:r>
            <w:proofErr w:type="spellEnd"/>
          </w:p>
        </w:tc>
        <w:tc>
          <w:tcPr>
            <w:tcW w:w="3118" w:type="pct"/>
            <w:shd w:val="clear" w:color="auto" w:fill="FFFFFF" w:themeFill="background1"/>
            <w:tcMar>
              <w:top w:w="72" w:type="dxa"/>
              <w:left w:w="144" w:type="dxa"/>
              <w:bottom w:w="72" w:type="dxa"/>
              <w:right w:w="144" w:type="dxa"/>
            </w:tcMar>
            <w:hideMark/>
          </w:tcPr>
          <w:p w:rsidR="00C819CB" w:rsidRPr="009A775F" w:rsidRDefault="00C819CB"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190</w:t>
            </w:r>
            <w:r w:rsidRPr="009A775F">
              <w:rPr>
                <w:rFonts w:ascii="Verdana" w:eastAsia="Times New Roman" w:hAnsi="Verdana" w:cs="Arial"/>
                <w:kern w:val="24"/>
                <w:sz w:val="20"/>
                <w:szCs w:val="20"/>
                <w:lang w:eastAsia="es-ES"/>
              </w:rPr>
              <w:tab/>
            </w:r>
            <w:r w:rsidR="00020694" w:rsidRPr="009A775F">
              <w:rPr>
                <w:rFonts w:ascii="Verdana" w:eastAsia="Times New Roman" w:hAnsi="Verdana" w:cs="Arial"/>
                <w:kern w:val="24"/>
                <w:sz w:val="20"/>
                <w:szCs w:val="20"/>
                <w:lang w:val="es-MX" w:eastAsia="es-ES"/>
              </w:rPr>
              <w:t>11,7</w:t>
            </w:r>
          </w:p>
        </w:tc>
      </w:tr>
      <w:tr w:rsidR="008A0529" w:rsidRPr="009A775F" w:rsidTr="00AB4BB9">
        <w:trPr>
          <w:trHeight w:val="267"/>
        </w:trPr>
        <w:tc>
          <w:tcPr>
            <w:tcW w:w="1882" w:type="pct"/>
            <w:shd w:val="clear" w:color="auto" w:fill="FFFFFF" w:themeFill="background1"/>
            <w:tcMar>
              <w:top w:w="72" w:type="dxa"/>
              <w:left w:w="144" w:type="dxa"/>
              <w:bottom w:w="72" w:type="dxa"/>
              <w:right w:w="144" w:type="dxa"/>
            </w:tcMar>
            <w:hideMark/>
          </w:tcPr>
          <w:p w:rsidR="00C819CB" w:rsidRPr="009A775F" w:rsidRDefault="00C819CB" w:rsidP="00765B55">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C</w:t>
            </w:r>
            <w:proofErr w:type="spellStart"/>
            <w:r w:rsidRPr="009A775F">
              <w:rPr>
                <w:rFonts w:ascii="Verdana" w:eastAsia="Times New Roman" w:hAnsi="Verdana" w:cs="Arial"/>
                <w:kern w:val="24"/>
                <w:sz w:val="20"/>
                <w:szCs w:val="20"/>
                <w:lang w:val="es-ES" w:eastAsia="es-ES"/>
              </w:rPr>
              <w:t>irugía</w:t>
            </w:r>
            <w:proofErr w:type="spellEnd"/>
          </w:p>
        </w:tc>
        <w:tc>
          <w:tcPr>
            <w:tcW w:w="3118" w:type="pct"/>
            <w:shd w:val="clear" w:color="auto" w:fill="FFFFFF" w:themeFill="background1"/>
            <w:tcMar>
              <w:top w:w="72" w:type="dxa"/>
              <w:left w:w="144" w:type="dxa"/>
              <w:bottom w:w="72" w:type="dxa"/>
              <w:right w:w="144" w:type="dxa"/>
            </w:tcMar>
            <w:hideMark/>
          </w:tcPr>
          <w:p w:rsidR="00C819CB" w:rsidRPr="009A775F" w:rsidRDefault="00C819CB"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187</w:t>
            </w:r>
            <w:r w:rsidRPr="009A775F">
              <w:rPr>
                <w:rFonts w:ascii="Verdana" w:eastAsia="Times New Roman" w:hAnsi="Verdana" w:cs="Arial"/>
                <w:kern w:val="24"/>
                <w:sz w:val="20"/>
                <w:szCs w:val="20"/>
                <w:lang w:eastAsia="es-ES"/>
              </w:rPr>
              <w:tab/>
            </w:r>
            <w:r w:rsidRPr="009A775F">
              <w:rPr>
                <w:rFonts w:ascii="Verdana" w:eastAsia="Times New Roman" w:hAnsi="Verdana" w:cs="Arial"/>
                <w:kern w:val="24"/>
                <w:sz w:val="20"/>
                <w:szCs w:val="20"/>
                <w:lang w:val="es-MX" w:eastAsia="es-ES"/>
              </w:rPr>
              <w:t>11,5</w:t>
            </w:r>
          </w:p>
        </w:tc>
      </w:tr>
      <w:tr w:rsidR="008A0529" w:rsidRPr="009A775F" w:rsidTr="00AB4BB9">
        <w:trPr>
          <w:trHeight w:val="267"/>
        </w:trPr>
        <w:tc>
          <w:tcPr>
            <w:tcW w:w="1882" w:type="pct"/>
            <w:shd w:val="clear" w:color="auto" w:fill="FFFFFF" w:themeFill="background1"/>
            <w:tcMar>
              <w:top w:w="72" w:type="dxa"/>
              <w:left w:w="144" w:type="dxa"/>
              <w:bottom w:w="72" w:type="dxa"/>
              <w:right w:w="144" w:type="dxa"/>
            </w:tcMar>
          </w:tcPr>
          <w:p w:rsidR="00C819CB" w:rsidRPr="009A775F" w:rsidRDefault="00C819CB" w:rsidP="00D860EF">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val="es-ES" w:eastAsia="es-ES"/>
              </w:rPr>
              <w:t>Salón de operaciones</w:t>
            </w:r>
          </w:p>
        </w:tc>
        <w:tc>
          <w:tcPr>
            <w:tcW w:w="3118" w:type="pct"/>
            <w:shd w:val="clear" w:color="auto" w:fill="FFFFFF" w:themeFill="background1"/>
            <w:tcMar>
              <w:top w:w="72" w:type="dxa"/>
              <w:left w:w="144" w:type="dxa"/>
              <w:bottom w:w="72" w:type="dxa"/>
              <w:right w:w="144" w:type="dxa"/>
            </w:tcMar>
          </w:tcPr>
          <w:p w:rsidR="00C819CB" w:rsidRPr="009A775F" w:rsidRDefault="00C819CB" w:rsidP="00D860EF">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w:t>
            </w:r>
            <w:r w:rsidRPr="009A775F">
              <w:rPr>
                <w:rFonts w:ascii="Verdana" w:eastAsia="Times New Roman" w:hAnsi="Verdana" w:cs="Arial"/>
                <w:kern w:val="24"/>
                <w:sz w:val="20"/>
                <w:szCs w:val="20"/>
                <w:lang w:val="es-ES" w:eastAsia="es-ES"/>
              </w:rPr>
              <w:t xml:space="preserve">  </w:t>
            </w:r>
            <w:r w:rsidRPr="009A775F">
              <w:rPr>
                <w:rFonts w:ascii="Verdana" w:eastAsia="Times New Roman" w:hAnsi="Verdana" w:cs="Arial"/>
                <w:kern w:val="24"/>
                <w:sz w:val="20"/>
                <w:szCs w:val="20"/>
                <w:lang w:eastAsia="es-ES"/>
              </w:rPr>
              <w:t>163</w:t>
            </w:r>
            <w:r w:rsidRPr="009A775F">
              <w:rPr>
                <w:rFonts w:ascii="Verdana" w:eastAsia="Times New Roman" w:hAnsi="Verdana" w:cs="Arial"/>
                <w:kern w:val="24"/>
                <w:sz w:val="20"/>
                <w:szCs w:val="20"/>
                <w:lang w:eastAsia="es-ES"/>
              </w:rPr>
              <w:tab/>
            </w:r>
            <w:r w:rsidRPr="009A775F">
              <w:rPr>
                <w:rFonts w:ascii="Verdana" w:eastAsia="Times New Roman" w:hAnsi="Verdana" w:cs="Arial"/>
                <w:kern w:val="24"/>
                <w:sz w:val="20"/>
                <w:szCs w:val="20"/>
                <w:lang w:val="es-MX" w:eastAsia="es-ES"/>
              </w:rPr>
              <w:t>10,0</w:t>
            </w:r>
          </w:p>
        </w:tc>
      </w:tr>
      <w:tr w:rsidR="008A0529" w:rsidRPr="009A775F" w:rsidTr="00AB4BB9">
        <w:trPr>
          <w:trHeight w:val="287"/>
        </w:trPr>
        <w:tc>
          <w:tcPr>
            <w:tcW w:w="1882" w:type="pct"/>
            <w:shd w:val="clear" w:color="auto" w:fill="FFFFFF" w:themeFill="background1"/>
            <w:tcMar>
              <w:top w:w="72" w:type="dxa"/>
              <w:left w:w="144" w:type="dxa"/>
              <w:bottom w:w="72" w:type="dxa"/>
              <w:right w:w="144" w:type="dxa"/>
            </w:tcMar>
            <w:hideMark/>
          </w:tcPr>
          <w:p w:rsidR="00C819CB" w:rsidRPr="009A775F" w:rsidRDefault="00C819CB" w:rsidP="00765B55">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U</w:t>
            </w:r>
            <w:proofErr w:type="spellStart"/>
            <w:r w:rsidRPr="009A775F">
              <w:rPr>
                <w:rFonts w:ascii="Verdana" w:eastAsia="Times New Roman" w:hAnsi="Verdana" w:cs="Arial"/>
                <w:kern w:val="24"/>
                <w:sz w:val="20"/>
                <w:szCs w:val="20"/>
                <w:lang w:val="es-ES" w:eastAsia="es-ES"/>
              </w:rPr>
              <w:t>rología</w:t>
            </w:r>
            <w:proofErr w:type="spellEnd"/>
          </w:p>
        </w:tc>
        <w:tc>
          <w:tcPr>
            <w:tcW w:w="3118" w:type="pct"/>
            <w:shd w:val="clear" w:color="auto" w:fill="FFFFFF" w:themeFill="background1"/>
            <w:tcMar>
              <w:top w:w="72" w:type="dxa"/>
              <w:left w:w="144" w:type="dxa"/>
              <w:bottom w:w="72" w:type="dxa"/>
              <w:right w:w="144" w:type="dxa"/>
            </w:tcMar>
            <w:hideMark/>
          </w:tcPr>
          <w:p w:rsidR="00C819CB" w:rsidRPr="009A775F" w:rsidRDefault="00C819CB"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58</w:t>
            </w:r>
            <w:r w:rsidRPr="009A775F">
              <w:rPr>
                <w:rFonts w:ascii="Verdana" w:eastAsia="Times New Roman" w:hAnsi="Verdana" w:cs="Arial"/>
                <w:kern w:val="24"/>
                <w:sz w:val="20"/>
                <w:szCs w:val="20"/>
                <w:lang w:eastAsia="es-ES"/>
              </w:rPr>
              <w:tab/>
            </w:r>
            <w:r w:rsidRPr="009A775F">
              <w:rPr>
                <w:rFonts w:ascii="Verdana" w:eastAsia="Times New Roman" w:hAnsi="Verdana" w:cs="Arial"/>
                <w:kern w:val="24"/>
                <w:sz w:val="20"/>
                <w:szCs w:val="20"/>
                <w:lang w:val="es-MX" w:eastAsia="es-ES"/>
              </w:rPr>
              <w:t>3,5</w:t>
            </w:r>
          </w:p>
        </w:tc>
      </w:tr>
      <w:tr w:rsidR="008A0529" w:rsidRPr="009A775F" w:rsidTr="00AB4BB9">
        <w:trPr>
          <w:trHeight w:val="278"/>
        </w:trPr>
        <w:tc>
          <w:tcPr>
            <w:tcW w:w="1882" w:type="pct"/>
            <w:shd w:val="clear" w:color="auto" w:fill="FFFFFF" w:themeFill="background1"/>
            <w:tcMar>
              <w:top w:w="72" w:type="dxa"/>
              <w:left w:w="144" w:type="dxa"/>
              <w:bottom w:w="72" w:type="dxa"/>
              <w:right w:w="144" w:type="dxa"/>
            </w:tcMar>
            <w:hideMark/>
          </w:tcPr>
          <w:p w:rsidR="00C819CB" w:rsidRPr="009A775F" w:rsidRDefault="00C819CB" w:rsidP="00765B55">
            <w:pPr>
              <w:spacing w:after="0" w:line="240" w:lineRule="auto"/>
              <w:jc w:val="both"/>
              <w:rPr>
                <w:rFonts w:ascii="Verdana" w:eastAsia="Times New Roman" w:hAnsi="Verdana" w:cs="Arial"/>
                <w:sz w:val="20"/>
                <w:szCs w:val="20"/>
                <w:lang w:val="es-ES" w:eastAsia="es-ES"/>
              </w:rPr>
            </w:pPr>
            <w:r w:rsidRPr="009A775F">
              <w:rPr>
                <w:rFonts w:ascii="Verdana" w:eastAsia="Times New Roman" w:hAnsi="Verdana" w:cs="Arial"/>
                <w:kern w:val="24"/>
                <w:sz w:val="20"/>
                <w:szCs w:val="20"/>
                <w:lang w:val="es-ES" w:eastAsia="es-ES"/>
              </w:rPr>
              <w:t>Maxilofacial</w:t>
            </w:r>
          </w:p>
        </w:tc>
        <w:tc>
          <w:tcPr>
            <w:tcW w:w="3118" w:type="pct"/>
            <w:shd w:val="clear" w:color="auto" w:fill="FFFFFF" w:themeFill="background1"/>
            <w:tcMar>
              <w:top w:w="72" w:type="dxa"/>
              <w:left w:w="144" w:type="dxa"/>
              <w:bottom w:w="72" w:type="dxa"/>
              <w:right w:w="144" w:type="dxa"/>
            </w:tcMar>
            <w:hideMark/>
          </w:tcPr>
          <w:p w:rsidR="00C819CB" w:rsidRPr="009A775F" w:rsidRDefault="00C819CB"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17</w:t>
            </w:r>
            <w:r w:rsidRPr="009A775F">
              <w:rPr>
                <w:rFonts w:ascii="Verdana" w:eastAsia="Times New Roman" w:hAnsi="Verdana" w:cs="Arial"/>
                <w:kern w:val="24"/>
                <w:sz w:val="20"/>
                <w:szCs w:val="20"/>
                <w:lang w:eastAsia="es-ES"/>
              </w:rPr>
              <w:tab/>
            </w:r>
            <w:r w:rsidR="00020694" w:rsidRPr="009A775F">
              <w:rPr>
                <w:rFonts w:ascii="Verdana" w:eastAsia="Times New Roman" w:hAnsi="Verdana" w:cs="Arial"/>
                <w:kern w:val="24"/>
                <w:sz w:val="20"/>
                <w:szCs w:val="20"/>
                <w:lang w:val="es-MX" w:eastAsia="es-ES"/>
              </w:rPr>
              <w:t>1,1</w:t>
            </w:r>
          </w:p>
        </w:tc>
      </w:tr>
      <w:tr w:rsidR="008A0529" w:rsidRPr="009A775F" w:rsidTr="00AB4BB9">
        <w:trPr>
          <w:trHeight w:val="321"/>
        </w:trPr>
        <w:tc>
          <w:tcPr>
            <w:tcW w:w="1882" w:type="pct"/>
            <w:tcBorders>
              <w:bottom w:val="single" w:sz="4" w:space="0" w:color="auto"/>
            </w:tcBorders>
            <w:shd w:val="clear" w:color="auto" w:fill="FFFFFF" w:themeFill="background1"/>
            <w:tcMar>
              <w:top w:w="72" w:type="dxa"/>
              <w:left w:w="144" w:type="dxa"/>
              <w:bottom w:w="72" w:type="dxa"/>
              <w:right w:w="144" w:type="dxa"/>
            </w:tcMar>
            <w:hideMark/>
          </w:tcPr>
          <w:p w:rsidR="00C819CB" w:rsidRPr="009A775F" w:rsidRDefault="00C819CB" w:rsidP="00765B55">
            <w:pPr>
              <w:spacing w:after="0" w:line="240" w:lineRule="auto"/>
              <w:rPr>
                <w:rFonts w:ascii="Verdana" w:eastAsia="Times New Roman" w:hAnsi="Verdana" w:cs="Arial"/>
                <w:sz w:val="20"/>
                <w:szCs w:val="20"/>
                <w:lang w:val="es-ES" w:eastAsia="es-ES"/>
              </w:rPr>
            </w:pPr>
            <w:r w:rsidRPr="009A775F">
              <w:rPr>
                <w:rFonts w:ascii="Verdana" w:eastAsia="Times New Roman" w:hAnsi="Verdana" w:cs="Arial"/>
                <w:kern w:val="24"/>
                <w:sz w:val="20"/>
                <w:szCs w:val="20"/>
                <w:lang w:eastAsia="es-ES"/>
              </w:rPr>
              <w:t xml:space="preserve"> </w:t>
            </w:r>
            <w:r w:rsidRPr="009A775F">
              <w:rPr>
                <w:rFonts w:ascii="Verdana" w:eastAsia="Times New Roman" w:hAnsi="Verdana" w:cs="Arial"/>
                <w:kern w:val="24"/>
                <w:sz w:val="20"/>
                <w:szCs w:val="20"/>
                <w:lang w:val="es-ES" w:eastAsia="es-ES"/>
              </w:rPr>
              <w:t>Total</w:t>
            </w:r>
          </w:p>
        </w:tc>
        <w:tc>
          <w:tcPr>
            <w:tcW w:w="3118" w:type="pct"/>
            <w:tcBorders>
              <w:bottom w:val="single" w:sz="4" w:space="0" w:color="auto"/>
            </w:tcBorders>
            <w:shd w:val="clear" w:color="auto" w:fill="FFFFFF" w:themeFill="background1"/>
            <w:tcMar>
              <w:top w:w="72" w:type="dxa"/>
              <w:left w:w="144" w:type="dxa"/>
              <w:bottom w:w="72" w:type="dxa"/>
              <w:right w:w="144" w:type="dxa"/>
            </w:tcMar>
            <w:hideMark/>
          </w:tcPr>
          <w:p w:rsidR="00C819CB" w:rsidRPr="009A775F" w:rsidRDefault="00C819CB" w:rsidP="00C819CB">
            <w:pPr>
              <w:tabs>
                <w:tab w:val="center" w:pos="2191"/>
              </w:tabs>
              <w:spacing w:after="0" w:line="240" w:lineRule="auto"/>
              <w:rPr>
                <w:rFonts w:ascii="Verdana" w:eastAsia="Times New Roman" w:hAnsi="Verdana" w:cs="Arial"/>
                <w:sz w:val="20"/>
                <w:szCs w:val="20"/>
                <w:lang w:val="es-MX" w:eastAsia="es-ES"/>
              </w:rPr>
            </w:pPr>
            <w:r w:rsidRPr="009A775F">
              <w:rPr>
                <w:rFonts w:ascii="Verdana" w:eastAsia="Times New Roman" w:hAnsi="Verdana" w:cs="Arial"/>
                <w:kern w:val="24"/>
                <w:sz w:val="20"/>
                <w:szCs w:val="20"/>
                <w:lang w:eastAsia="es-ES"/>
              </w:rPr>
              <w:t xml:space="preserve">       </w:t>
            </w:r>
            <w:r w:rsidRPr="009A775F">
              <w:rPr>
                <w:rFonts w:ascii="Verdana" w:eastAsia="Times New Roman" w:hAnsi="Verdana" w:cs="Arial"/>
                <w:kern w:val="24"/>
                <w:sz w:val="20"/>
                <w:szCs w:val="20"/>
                <w:lang w:val="es-ES" w:eastAsia="es-ES"/>
              </w:rPr>
              <w:t xml:space="preserve"> </w:t>
            </w:r>
            <w:r w:rsidRPr="009A775F">
              <w:rPr>
                <w:rFonts w:ascii="Verdana" w:eastAsia="Times New Roman" w:hAnsi="Verdana" w:cs="Arial"/>
                <w:kern w:val="24"/>
                <w:sz w:val="20"/>
                <w:szCs w:val="20"/>
                <w:lang w:eastAsia="es-ES"/>
              </w:rPr>
              <w:t>1626</w:t>
            </w:r>
            <w:r w:rsidRPr="009A775F">
              <w:rPr>
                <w:rFonts w:ascii="Verdana" w:eastAsia="Times New Roman" w:hAnsi="Verdana" w:cs="Arial"/>
                <w:kern w:val="24"/>
                <w:sz w:val="20"/>
                <w:szCs w:val="20"/>
                <w:lang w:eastAsia="es-ES"/>
              </w:rPr>
              <w:tab/>
            </w:r>
            <w:r w:rsidRPr="009A775F">
              <w:rPr>
                <w:rFonts w:ascii="Verdana" w:eastAsia="Times New Roman" w:hAnsi="Verdana" w:cs="Arial"/>
                <w:kern w:val="24"/>
                <w:sz w:val="20"/>
                <w:szCs w:val="20"/>
                <w:lang w:val="es-MX" w:eastAsia="es-ES"/>
              </w:rPr>
              <w:t>100</w:t>
            </w:r>
          </w:p>
        </w:tc>
      </w:tr>
    </w:tbl>
    <w:p w:rsidR="00765B55" w:rsidRPr="009A775F" w:rsidRDefault="00020694" w:rsidP="00020694">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*Unidad de Cuidados Intensivos</w:t>
      </w:r>
      <w:r w:rsidR="00BB185A" w:rsidRPr="009A775F">
        <w:rPr>
          <w:rFonts w:ascii="Verdana" w:hAnsi="Verdana" w:cs="Arial"/>
          <w:sz w:val="20"/>
          <w:szCs w:val="20"/>
          <w:lang w:val="es-ES"/>
        </w:rPr>
        <w:t>.</w:t>
      </w:r>
    </w:p>
    <w:p w:rsidR="008A0529" w:rsidRPr="009A775F" w:rsidRDefault="008A0529" w:rsidP="008A0529">
      <w:pPr>
        <w:spacing w:after="0" w:line="240" w:lineRule="auto"/>
        <w:jc w:val="both"/>
        <w:rPr>
          <w:rFonts w:ascii="Verdana" w:hAnsi="Verdana"/>
          <w:sz w:val="20"/>
          <w:szCs w:val="20"/>
          <w:lang w:val="es-ES"/>
        </w:rPr>
      </w:pPr>
      <w:r w:rsidRPr="009A775F">
        <w:rPr>
          <w:rFonts w:ascii="Verdana" w:hAnsi="Verdana"/>
          <w:sz w:val="20"/>
          <w:szCs w:val="20"/>
          <w:lang w:val="es-ES"/>
        </w:rPr>
        <w:t>Fuente: Informes del Comité Transfusional Hospitalario</w:t>
      </w:r>
    </w:p>
    <w:p w:rsidR="00020694" w:rsidRPr="009A775F" w:rsidRDefault="00020694" w:rsidP="00360753">
      <w:pPr>
        <w:autoSpaceDE w:val="0"/>
        <w:autoSpaceDN w:val="0"/>
        <w:adjustRightInd w:val="0"/>
        <w:spacing w:after="0" w:line="240" w:lineRule="auto"/>
        <w:jc w:val="both"/>
        <w:rPr>
          <w:rFonts w:ascii="Verdana" w:hAnsi="Verdana" w:cs="Arial"/>
          <w:sz w:val="20"/>
          <w:szCs w:val="20"/>
          <w:lang w:val="es-ES"/>
        </w:rPr>
      </w:pPr>
    </w:p>
    <w:p w:rsidR="00956612" w:rsidRPr="009A775F" w:rsidRDefault="00BB185A" w:rsidP="00020694">
      <w:pPr>
        <w:autoSpaceDE w:val="0"/>
        <w:autoSpaceDN w:val="0"/>
        <w:adjustRightInd w:val="0"/>
        <w:spacing w:after="0" w:line="240" w:lineRule="auto"/>
        <w:jc w:val="both"/>
        <w:rPr>
          <w:rFonts w:ascii="Verdana" w:hAnsi="Verdana"/>
          <w:sz w:val="20"/>
          <w:szCs w:val="20"/>
          <w:lang w:val="es-ES"/>
        </w:rPr>
      </w:pPr>
      <w:r w:rsidRPr="009A775F">
        <w:rPr>
          <w:rFonts w:ascii="Verdana" w:hAnsi="Verdana" w:cs="Arial"/>
          <w:sz w:val="20"/>
          <w:szCs w:val="20"/>
          <w:lang w:val="es-ES"/>
        </w:rPr>
        <w:t>En la tabla 4</w:t>
      </w:r>
      <w:r w:rsidR="00020694" w:rsidRPr="009A775F">
        <w:rPr>
          <w:rFonts w:ascii="Verdana" w:hAnsi="Verdana" w:cs="Arial"/>
          <w:sz w:val="20"/>
          <w:szCs w:val="20"/>
          <w:lang w:val="es-ES"/>
        </w:rPr>
        <w:t xml:space="preserve"> se evidencia como el servicio de Medicina Interna fue el que más pacientes transfundidos tuvo, acumulando alrededor de un tercio del total  pacientes, seguido por los servicios de Cuerpo de Guardia, UCI, Geriatría, Cirugía y Salón de Operaciones que se </w:t>
      </w:r>
      <w:r w:rsidR="00020694" w:rsidRPr="009A775F">
        <w:rPr>
          <w:rFonts w:ascii="Verdana" w:hAnsi="Verdana" w:cs="Arial"/>
          <w:sz w:val="20"/>
          <w:szCs w:val="20"/>
          <w:lang w:val="es-ES"/>
        </w:rPr>
        <w:lastRenderedPageBreak/>
        <w:t xml:space="preserve">mantuvieron en porcientos semejantes. Los servicios de Maxilofacial y Urología fueron los que obtuvieron índices más bajos de pacientes transfundidos. </w:t>
      </w:r>
    </w:p>
    <w:p w:rsidR="002459A5" w:rsidRPr="009A775F" w:rsidRDefault="002459A5" w:rsidP="00360753">
      <w:pPr>
        <w:autoSpaceDE w:val="0"/>
        <w:autoSpaceDN w:val="0"/>
        <w:adjustRightInd w:val="0"/>
        <w:spacing w:after="0" w:line="240" w:lineRule="auto"/>
        <w:jc w:val="both"/>
        <w:rPr>
          <w:rFonts w:ascii="Verdana" w:hAnsi="Verdana" w:cs="Arial"/>
          <w:sz w:val="20"/>
          <w:szCs w:val="20"/>
          <w:lang w:val="es-ES"/>
        </w:rPr>
      </w:pPr>
    </w:p>
    <w:p w:rsidR="002459A5" w:rsidRPr="009A775F" w:rsidRDefault="00372307" w:rsidP="00360753">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Tabla 5</w:t>
      </w:r>
      <w:r w:rsidR="00311339" w:rsidRPr="009A775F">
        <w:rPr>
          <w:rFonts w:ascii="Verdana" w:hAnsi="Verdana" w:cs="Arial"/>
          <w:sz w:val="20"/>
          <w:szCs w:val="20"/>
          <w:lang w:val="es-ES"/>
        </w:rPr>
        <w:t>. Reacciones</w:t>
      </w:r>
      <w:r w:rsidR="002D1FA8" w:rsidRPr="009A775F">
        <w:rPr>
          <w:rFonts w:ascii="Verdana" w:hAnsi="Verdana" w:cs="Arial"/>
          <w:sz w:val="20"/>
          <w:szCs w:val="20"/>
          <w:lang w:val="es-ES"/>
        </w:rPr>
        <w:t xml:space="preserve"> Adversas</w:t>
      </w:r>
      <w:r w:rsidR="00311339" w:rsidRPr="009A775F">
        <w:rPr>
          <w:rFonts w:ascii="Verdana" w:hAnsi="Verdana" w:cs="Arial"/>
          <w:sz w:val="20"/>
          <w:szCs w:val="20"/>
          <w:lang w:val="es-ES"/>
        </w:rPr>
        <w:t xml:space="preserve"> </w:t>
      </w:r>
      <w:r w:rsidR="002D1FA8" w:rsidRPr="009A775F">
        <w:rPr>
          <w:rFonts w:ascii="Verdana" w:hAnsi="Verdana" w:cs="Arial"/>
          <w:sz w:val="20"/>
          <w:szCs w:val="20"/>
          <w:lang w:val="es-ES"/>
        </w:rPr>
        <w:t>en  HLCR</w:t>
      </w:r>
      <w:r w:rsidR="00033AB3" w:rsidRPr="009A775F">
        <w:rPr>
          <w:rFonts w:ascii="Verdana" w:hAnsi="Verdana" w:cs="Arial"/>
          <w:sz w:val="20"/>
          <w:szCs w:val="20"/>
          <w:lang w:val="es-ES"/>
        </w:rPr>
        <w:t xml:space="preserve"> 2014-</w:t>
      </w:r>
      <w:r w:rsidR="002D1FA8" w:rsidRPr="009A775F">
        <w:rPr>
          <w:rFonts w:ascii="Verdana" w:hAnsi="Verdana" w:cs="Arial"/>
          <w:sz w:val="20"/>
          <w:szCs w:val="20"/>
          <w:lang w:val="es-ES"/>
        </w:rPr>
        <w:t>2015</w:t>
      </w:r>
      <w:r w:rsidR="00033AB3" w:rsidRPr="009A775F">
        <w:rPr>
          <w:rFonts w:ascii="Verdana" w:hAnsi="Verdana" w:cs="Arial"/>
          <w:sz w:val="20"/>
          <w:szCs w:val="20"/>
          <w:lang w:val="es-ES"/>
        </w:rPr>
        <w:t>.</w:t>
      </w:r>
    </w:p>
    <w:tbl>
      <w:tblPr>
        <w:tblW w:w="9540" w:type="dxa"/>
        <w:tblCellMar>
          <w:left w:w="0" w:type="dxa"/>
          <w:right w:w="0" w:type="dxa"/>
        </w:tblCellMar>
        <w:tblLook w:val="0600" w:firstRow="0" w:lastRow="0" w:firstColumn="0" w:lastColumn="0" w:noHBand="1" w:noVBand="1"/>
      </w:tblPr>
      <w:tblGrid>
        <w:gridCol w:w="8642"/>
        <w:gridCol w:w="223"/>
        <w:gridCol w:w="223"/>
        <w:gridCol w:w="223"/>
        <w:gridCol w:w="223"/>
        <w:gridCol w:w="6"/>
      </w:tblGrid>
      <w:tr w:rsidR="008A0529" w:rsidRPr="009A775F" w:rsidTr="00033AB3">
        <w:trPr>
          <w:trHeight w:val="616"/>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ED7E1A" w:rsidRPr="009A775F" w:rsidRDefault="005E2AAB" w:rsidP="00033AB3">
            <w:pPr>
              <w:kinsoku w:val="0"/>
              <w:overflowPunct w:val="0"/>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Reacciones</w:t>
            </w:r>
          </w:p>
          <w:p w:rsidR="002D1FA8" w:rsidRPr="009A775F" w:rsidRDefault="002D1FA8" w:rsidP="00033AB3">
            <w:pPr>
              <w:tabs>
                <w:tab w:val="center" w:pos="3443"/>
                <w:tab w:val="right" w:pos="7551"/>
              </w:tabs>
              <w:kinsoku w:val="0"/>
              <w:overflowPunct w:val="0"/>
              <w:spacing w:after="0" w:line="240" w:lineRule="auto"/>
              <w:textAlignment w:val="baseline"/>
              <w:rPr>
                <w:rFonts w:ascii="Verdana" w:eastAsia="Times New Roman" w:hAnsi="Verdana" w:cs="Arial"/>
                <w:sz w:val="20"/>
                <w:szCs w:val="20"/>
                <w:lang w:val="es-ES" w:eastAsia="es-ES"/>
              </w:rPr>
            </w:pPr>
            <w:r w:rsidRPr="009A775F">
              <w:rPr>
                <w:rFonts w:ascii="Verdana" w:eastAsia="Times New Roman" w:hAnsi="Verdana" w:cs="Times New Roman"/>
                <w:kern w:val="24"/>
                <w:sz w:val="20"/>
                <w:szCs w:val="20"/>
                <w:lang w:val="es-ES" w:eastAsia="es-ES"/>
              </w:rPr>
              <w:t>Adversas</w:t>
            </w:r>
            <w:r w:rsidR="00033AB3" w:rsidRPr="009A775F">
              <w:rPr>
                <w:rFonts w:ascii="Verdana" w:eastAsia="Times New Roman" w:hAnsi="Verdana" w:cs="Times New Roman"/>
                <w:kern w:val="24"/>
                <w:sz w:val="20"/>
                <w:szCs w:val="20"/>
                <w:lang w:val="es-ES" w:eastAsia="es-ES"/>
              </w:rPr>
              <w:tab/>
              <w:t xml:space="preserve">              </w:t>
            </w:r>
            <w:r w:rsidR="002C3D00" w:rsidRPr="009A775F">
              <w:rPr>
                <w:rFonts w:ascii="Verdana" w:eastAsia="Times New Roman" w:hAnsi="Verdana" w:cs="Times New Roman"/>
                <w:kern w:val="24"/>
                <w:sz w:val="20"/>
                <w:szCs w:val="20"/>
                <w:lang w:val="es-ES" w:eastAsia="es-ES"/>
              </w:rPr>
              <w:t xml:space="preserve">                     </w:t>
            </w:r>
            <w:r w:rsidR="00033AB3" w:rsidRPr="009A775F">
              <w:rPr>
                <w:rFonts w:ascii="Verdana" w:eastAsia="Times New Roman" w:hAnsi="Verdana" w:cs="Times New Roman"/>
                <w:kern w:val="24"/>
                <w:sz w:val="20"/>
                <w:szCs w:val="20"/>
                <w:lang w:val="es-ES" w:eastAsia="es-ES"/>
              </w:rPr>
              <w:t xml:space="preserve"> </w:t>
            </w:r>
            <w:r w:rsidR="00213FB0" w:rsidRPr="009A775F">
              <w:rPr>
                <w:rFonts w:ascii="Verdana" w:eastAsia="Times New Roman" w:hAnsi="Verdana" w:cs="Times New Roman"/>
                <w:kern w:val="24"/>
                <w:sz w:val="20"/>
                <w:szCs w:val="20"/>
                <w:lang w:val="es-ES" w:eastAsia="es-ES"/>
              </w:rPr>
              <w:t xml:space="preserve">     </w:t>
            </w:r>
            <w:r w:rsidR="002C3D00" w:rsidRPr="009A775F">
              <w:rPr>
                <w:rFonts w:ascii="Verdana" w:eastAsia="Times New Roman" w:hAnsi="Verdana" w:cs="Times New Roman"/>
                <w:kern w:val="24"/>
                <w:sz w:val="20"/>
                <w:szCs w:val="20"/>
                <w:lang w:val="es-ES" w:eastAsia="es-ES"/>
              </w:rPr>
              <w:t xml:space="preserve">2014                                   </w:t>
            </w:r>
            <w:r w:rsidR="00213FB0" w:rsidRPr="009A775F">
              <w:rPr>
                <w:rFonts w:ascii="Verdana" w:eastAsia="Times New Roman" w:hAnsi="Verdana" w:cs="Times New Roman"/>
                <w:kern w:val="24"/>
                <w:sz w:val="20"/>
                <w:szCs w:val="20"/>
                <w:lang w:val="es-ES" w:eastAsia="es-ES"/>
              </w:rPr>
              <w:t xml:space="preserve">            </w:t>
            </w:r>
            <w:r w:rsidR="002C3D00" w:rsidRPr="009A775F">
              <w:rPr>
                <w:rFonts w:ascii="Verdana" w:eastAsia="Times New Roman" w:hAnsi="Verdana" w:cs="Times New Roman"/>
                <w:kern w:val="24"/>
                <w:sz w:val="20"/>
                <w:szCs w:val="20"/>
                <w:lang w:val="es-ES" w:eastAsia="es-ES"/>
              </w:rPr>
              <w:t xml:space="preserve"> </w:t>
            </w:r>
            <w:r w:rsidR="00033AB3" w:rsidRPr="009A775F">
              <w:rPr>
                <w:rFonts w:ascii="Verdana" w:eastAsia="Times New Roman" w:hAnsi="Verdana" w:cs="Times New Roman"/>
                <w:kern w:val="24"/>
                <w:sz w:val="20"/>
                <w:szCs w:val="20"/>
                <w:lang w:val="es-ES" w:eastAsia="es-ES"/>
              </w:rPr>
              <w:t>2015</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5E2AAB" w:rsidRPr="009A775F" w:rsidRDefault="005E2AAB" w:rsidP="00853BC9">
            <w:pPr>
              <w:spacing w:after="0" w:line="240" w:lineRule="auto"/>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ED7E1A" w:rsidRPr="009A775F" w:rsidRDefault="00ED7E1A"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ED7E1A" w:rsidRPr="009A775F" w:rsidRDefault="00ED7E1A"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ED7E1A" w:rsidRPr="009A775F" w:rsidRDefault="00ED7E1A"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tcPr>
          <w:p w:rsidR="005E2AAB" w:rsidRPr="009A775F" w:rsidRDefault="005E2AAB" w:rsidP="00853BC9">
            <w:pPr>
              <w:kinsoku w:val="0"/>
              <w:overflowPunct w:val="0"/>
              <w:spacing w:after="0" w:line="240" w:lineRule="auto"/>
              <w:textAlignment w:val="baseline"/>
              <w:rPr>
                <w:rFonts w:ascii="Verdana" w:eastAsia="Times New Roman" w:hAnsi="Verdana" w:cs="Times New Roman"/>
                <w:kern w:val="24"/>
                <w:sz w:val="20"/>
                <w:szCs w:val="20"/>
                <w:lang w:val="es-ES" w:eastAsia="es-ES"/>
              </w:rPr>
            </w:pPr>
          </w:p>
        </w:tc>
      </w:tr>
      <w:tr w:rsidR="008A0529" w:rsidRPr="009A775F" w:rsidTr="00033AB3">
        <w:trPr>
          <w:trHeight w:val="616"/>
        </w:trPr>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033AB3" w:rsidRPr="009A775F" w:rsidRDefault="00033AB3" w:rsidP="00033AB3">
            <w:pPr>
              <w:tabs>
                <w:tab w:val="left" w:pos="3210"/>
                <w:tab w:val="center" w:pos="4172"/>
                <w:tab w:val="right" w:pos="8345"/>
              </w:tabs>
              <w:kinsoku w:val="0"/>
              <w:overflowPunct w:val="0"/>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 xml:space="preserve">                                                  FA</w:t>
            </w:r>
            <w:r w:rsidRPr="009A775F">
              <w:rPr>
                <w:rFonts w:ascii="Verdana" w:eastAsia="Times New Roman" w:hAnsi="Verdana" w:cs="Times New Roman"/>
                <w:kern w:val="24"/>
                <w:sz w:val="20"/>
                <w:szCs w:val="20"/>
                <w:lang w:val="es-ES" w:eastAsia="es-ES"/>
              </w:rPr>
              <w:tab/>
              <w:t xml:space="preserve">        FR                                  FA</w:t>
            </w:r>
            <w:r w:rsidRPr="009A775F">
              <w:rPr>
                <w:rFonts w:ascii="Verdana" w:eastAsia="Times New Roman" w:hAnsi="Verdana" w:cs="Times New Roman"/>
                <w:kern w:val="24"/>
                <w:sz w:val="20"/>
                <w:szCs w:val="20"/>
                <w:lang w:val="es-ES" w:eastAsia="es-ES"/>
              </w:rPr>
              <w:tab/>
            </w:r>
            <w:r w:rsidR="004D016C" w:rsidRPr="009A775F">
              <w:rPr>
                <w:rFonts w:ascii="Verdana" w:eastAsia="Times New Roman" w:hAnsi="Verdana" w:cs="Times New Roman"/>
                <w:kern w:val="24"/>
                <w:sz w:val="20"/>
                <w:szCs w:val="20"/>
                <w:lang w:val="es-ES" w:eastAsia="es-ES"/>
              </w:rPr>
              <w:t xml:space="preserve">  </w:t>
            </w:r>
            <w:r w:rsidRPr="009A775F">
              <w:rPr>
                <w:rFonts w:ascii="Verdana" w:eastAsia="Times New Roman" w:hAnsi="Verdana" w:cs="Times New Roman"/>
                <w:kern w:val="24"/>
                <w:sz w:val="20"/>
                <w:szCs w:val="20"/>
                <w:lang w:val="es-ES" w:eastAsia="es-ES"/>
              </w:rPr>
              <w:t>FR</w:t>
            </w: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033AB3" w:rsidRPr="009A775F" w:rsidRDefault="00033AB3" w:rsidP="00853BC9">
            <w:pPr>
              <w:spacing w:after="0" w:line="240" w:lineRule="auto"/>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033AB3" w:rsidRPr="009A775F" w:rsidRDefault="00033AB3"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033AB3" w:rsidRPr="009A775F" w:rsidRDefault="00033AB3"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shd w:val="clear" w:color="auto" w:fill="auto"/>
            <w:tcMar>
              <w:top w:w="15" w:type="dxa"/>
              <w:left w:w="108" w:type="dxa"/>
              <w:bottom w:w="0" w:type="dxa"/>
              <w:right w:w="108" w:type="dxa"/>
            </w:tcMar>
          </w:tcPr>
          <w:p w:rsidR="00033AB3" w:rsidRPr="009A775F" w:rsidRDefault="00033AB3"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single" w:sz="8" w:space="0" w:color="000000"/>
              <w:left w:val="nil"/>
              <w:bottom w:val="single" w:sz="8" w:space="0" w:color="000000"/>
              <w:right w:val="nil"/>
            </w:tcBorders>
          </w:tcPr>
          <w:p w:rsidR="00033AB3" w:rsidRPr="009A775F" w:rsidRDefault="00033AB3" w:rsidP="00853BC9">
            <w:pPr>
              <w:kinsoku w:val="0"/>
              <w:overflowPunct w:val="0"/>
              <w:spacing w:after="0" w:line="240" w:lineRule="auto"/>
              <w:textAlignment w:val="baseline"/>
              <w:rPr>
                <w:rFonts w:ascii="Verdana" w:eastAsia="Times New Roman" w:hAnsi="Verdana" w:cs="Times New Roman"/>
                <w:kern w:val="24"/>
                <w:sz w:val="20"/>
                <w:szCs w:val="20"/>
                <w:lang w:val="es-ES" w:eastAsia="es-ES"/>
              </w:rPr>
            </w:pPr>
          </w:p>
        </w:tc>
      </w:tr>
      <w:tr w:rsidR="008A0529" w:rsidRPr="009A775F" w:rsidTr="00352686">
        <w:trPr>
          <w:trHeight w:val="495"/>
        </w:trPr>
        <w:tc>
          <w:tcPr>
            <w:tcW w:w="0" w:type="auto"/>
            <w:tcBorders>
              <w:top w:val="nil"/>
              <w:left w:val="nil"/>
              <w:right w:val="nil"/>
            </w:tcBorders>
            <w:shd w:val="clear" w:color="auto" w:fill="auto"/>
            <w:tcMar>
              <w:top w:w="15" w:type="dxa"/>
              <w:left w:w="108" w:type="dxa"/>
              <w:bottom w:w="0" w:type="dxa"/>
              <w:right w:w="108" w:type="dxa"/>
            </w:tcMar>
            <w:hideMark/>
          </w:tcPr>
          <w:p w:rsidR="00ED7E1A" w:rsidRPr="009A775F" w:rsidRDefault="002D1FA8" w:rsidP="00033AB3">
            <w:pPr>
              <w:tabs>
                <w:tab w:val="left" w:pos="3420"/>
                <w:tab w:val="left" w:pos="7305"/>
              </w:tabs>
              <w:kinsoku w:val="0"/>
              <w:overflowPunct w:val="0"/>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Febril no hemolítica</w:t>
            </w:r>
            <w:r w:rsidR="00033AB3" w:rsidRPr="009A775F">
              <w:rPr>
                <w:rFonts w:ascii="Verdana" w:eastAsia="Times New Roman" w:hAnsi="Verdana" w:cs="Times New Roman"/>
                <w:kern w:val="24"/>
                <w:sz w:val="20"/>
                <w:szCs w:val="20"/>
                <w:lang w:val="es-ES" w:eastAsia="es-ES"/>
              </w:rPr>
              <w:tab/>
              <w:t xml:space="preserve"> 7</w:t>
            </w:r>
            <w:r w:rsidR="002C3D00" w:rsidRPr="009A775F">
              <w:rPr>
                <w:rFonts w:ascii="Verdana" w:eastAsia="Times New Roman" w:hAnsi="Verdana" w:cs="Times New Roman"/>
                <w:kern w:val="24"/>
                <w:sz w:val="20"/>
                <w:szCs w:val="20"/>
                <w:lang w:val="es-ES" w:eastAsia="es-ES"/>
              </w:rPr>
              <w:t xml:space="preserve">          </w:t>
            </w:r>
            <w:r w:rsidR="004D016C" w:rsidRPr="009A775F">
              <w:rPr>
                <w:rFonts w:ascii="Verdana" w:eastAsia="Times New Roman" w:hAnsi="Verdana" w:cs="Times New Roman"/>
                <w:kern w:val="24"/>
                <w:sz w:val="20"/>
                <w:szCs w:val="20"/>
                <w:lang w:val="es-ES" w:eastAsia="es-ES"/>
              </w:rPr>
              <w:t>63.6</w:t>
            </w:r>
            <w:r w:rsidR="002C3D00" w:rsidRPr="009A775F">
              <w:rPr>
                <w:rFonts w:ascii="Verdana" w:eastAsia="Times New Roman" w:hAnsi="Verdana" w:cs="Times New Roman"/>
                <w:kern w:val="24"/>
                <w:sz w:val="20"/>
                <w:szCs w:val="20"/>
                <w:lang w:val="es-ES" w:eastAsia="es-ES"/>
              </w:rPr>
              <w:t xml:space="preserve">       </w:t>
            </w:r>
            <w:r w:rsidR="004A316B" w:rsidRPr="009A775F">
              <w:rPr>
                <w:rFonts w:ascii="Verdana" w:eastAsia="Times New Roman" w:hAnsi="Verdana" w:cs="Times New Roman"/>
                <w:kern w:val="24"/>
                <w:sz w:val="20"/>
                <w:szCs w:val="20"/>
                <w:lang w:val="es-ES" w:eastAsia="es-ES"/>
              </w:rPr>
              <w:t xml:space="preserve">                        </w:t>
            </w:r>
            <w:r w:rsidR="00033AB3" w:rsidRPr="009A775F">
              <w:rPr>
                <w:rFonts w:ascii="Verdana" w:eastAsia="Times New Roman" w:hAnsi="Verdana" w:cs="Times New Roman"/>
                <w:kern w:val="24"/>
                <w:sz w:val="20"/>
                <w:szCs w:val="20"/>
                <w:lang w:val="es-ES" w:eastAsia="es-ES"/>
              </w:rPr>
              <w:t>12</w:t>
            </w:r>
            <w:r w:rsidR="004A316B" w:rsidRPr="009A775F">
              <w:rPr>
                <w:rFonts w:ascii="Verdana" w:eastAsia="Times New Roman" w:hAnsi="Verdana" w:cs="Times New Roman"/>
                <w:kern w:val="24"/>
                <w:sz w:val="20"/>
                <w:szCs w:val="20"/>
                <w:lang w:val="es-ES" w:eastAsia="es-ES"/>
              </w:rPr>
              <w:t xml:space="preserve">          57.1</w:t>
            </w:r>
          </w:p>
        </w:tc>
        <w:tc>
          <w:tcPr>
            <w:tcW w:w="0" w:type="auto"/>
            <w:tcBorders>
              <w:top w:val="nil"/>
              <w:left w:val="nil"/>
              <w:right w:val="nil"/>
            </w:tcBorders>
            <w:shd w:val="clear" w:color="auto" w:fill="auto"/>
            <w:tcMar>
              <w:top w:w="15" w:type="dxa"/>
              <w:left w:w="108" w:type="dxa"/>
              <w:bottom w:w="0" w:type="dxa"/>
              <w:right w:w="108" w:type="dxa"/>
            </w:tcMar>
            <w:hideMark/>
          </w:tcPr>
          <w:p w:rsidR="005E2AAB" w:rsidRPr="009A775F" w:rsidRDefault="005E2AAB" w:rsidP="00853BC9">
            <w:pPr>
              <w:spacing w:after="0" w:line="240" w:lineRule="auto"/>
              <w:rPr>
                <w:rFonts w:ascii="Verdana" w:eastAsia="Times New Roman" w:hAnsi="Verdana" w:cs="Arial"/>
                <w:sz w:val="20"/>
                <w:szCs w:val="20"/>
                <w:lang w:val="es-ES" w:eastAsia="es-ES"/>
              </w:rPr>
            </w:pPr>
          </w:p>
        </w:tc>
        <w:tc>
          <w:tcPr>
            <w:tcW w:w="0" w:type="auto"/>
            <w:tcBorders>
              <w:top w:val="nil"/>
              <w:left w:val="nil"/>
              <w:right w:val="nil"/>
            </w:tcBorders>
            <w:shd w:val="clear" w:color="auto" w:fill="auto"/>
            <w:tcMar>
              <w:top w:w="15" w:type="dxa"/>
              <w:left w:w="108" w:type="dxa"/>
              <w:bottom w:w="0" w:type="dxa"/>
              <w:right w:w="108" w:type="dxa"/>
            </w:tcMar>
          </w:tcPr>
          <w:p w:rsidR="005E2AAB" w:rsidRPr="009A775F" w:rsidRDefault="005E2AAB" w:rsidP="00853BC9">
            <w:pPr>
              <w:spacing w:after="0" w:line="240" w:lineRule="auto"/>
              <w:rPr>
                <w:rFonts w:ascii="Verdana" w:eastAsia="Times New Roman" w:hAnsi="Verdana" w:cs="Arial"/>
                <w:sz w:val="20"/>
                <w:szCs w:val="20"/>
                <w:lang w:val="es-ES" w:eastAsia="es-ES"/>
              </w:rPr>
            </w:pPr>
          </w:p>
        </w:tc>
        <w:tc>
          <w:tcPr>
            <w:tcW w:w="0" w:type="auto"/>
            <w:tcBorders>
              <w:top w:val="nil"/>
              <w:left w:val="nil"/>
              <w:right w:val="nil"/>
            </w:tcBorders>
            <w:shd w:val="clear" w:color="auto" w:fill="auto"/>
            <w:tcMar>
              <w:top w:w="15" w:type="dxa"/>
              <w:left w:w="108" w:type="dxa"/>
              <w:bottom w:w="0" w:type="dxa"/>
              <w:right w:w="108" w:type="dxa"/>
            </w:tcMar>
          </w:tcPr>
          <w:p w:rsidR="00ED7E1A" w:rsidRPr="009A775F" w:rsidRDefault="00ED7E1A"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nil"/>
              <w:left w:val="nil"/>
              <w:right w:val="nil"/>
            </w:tcBorders>
            <w:shd w:val="clear" w:color="auto" w:fill="auto"/>
            <w:tcMar>
              <w:top w:w="15" w:type="dxa"/>
              <w:left w:w="108" w:type="dxa"/>
              <w:bottom w:w="0" w:type="dxa"/>
              <w:right w:w="108" w:type="dxa"/>
            </w:tcMar>
            <w:hideMark/>
          </w:tcPr>
          <w:p w:rsidR="005E2AAB" w:rsidRPr="009A775F" w:rsidRDefault="005E2AAB" w:rsidP="00853BC9">
            <w:pPr>
              <w:spacing w:after="0" w:line="240" w:lineRule="auto"/>
              <w:rPr>
                <w:rFonts w:ascii="Verdana" w:eastAsia="Times New Roman" w:hAnsi="Verdana" w:cs="Arial"/>
                <w:sz w:val="20"/>
                <w:szCs w:val="20"/>
                <w:lang w:val="es-ES" w:eastAsia="es-ES"/>
              </w:rPr>
            </w:pPr>
          </w:p>
        </w:tc>
        <w:tc>
          <w:tcPr>
            <w:tcW w:w="0" w:type="auto"/>
            <w:tcBorders>
              <w:top w:val="nil"/>
              <w:left w:val="nil"/>
              <w:right w:val="nil"/>
            </w:tcBorders>
          </w:tcPr>
          <w:p w:rsidR="005E2AAB" w:rsidRPr="009A775F" w:rsidRDefault="005E2AAB" w:rsidP="00853BC9">
            <w:pPr>
              <w:spacing w:after="0" w:line="240" w:lineRule="auto"/>
              <w:rPr>
                <w:rFonts w:ascii="Verdana" w:eastAsia="Times New Roman" w:hAnsi="Verdana" w:cs="Arial"/>
                <w:sz w:val="20"/>
                <w:szCs w:val="20"/>
                <w:lang w:val="es-ES" w:eastAsia="es-ES"/>
              </w:rPr>
            </w:pPr>
          </w:p>
        </w:tc>
      </w:tr>
      <w:tr w:rsidR="008A0529" w:rsidRPr="009A775F" w:rsidTr="00352686">
        <w:trPr>
          <w:trHeight w:val="277"/>
        </w:trPr>
        <w:tc>
          <w:tcPr>
            <w:tcW w:w="0" w:type="auto"/>
            <w:tcBorders>
              <w:top w:val="nil"/>
              <w:left w:val="nil"/>
              <w:bottom w:val="nil"/>
              <w:right w:val="nil"/>
            </w:tcBorders>
            <w:shd w:val="clear" w:color="auto" w:fill="auto"/>
            <w:tcMar>
              <w:top w:w="15" w:type="dxa"/>
              <w:left w:w="108" w:type="dxa"/>
              <w:bottom w:w="0" w:type="dxa"/>
              <w:right w:w="108" w:type="dxa"/>
            </w:tcMar>
            <w:hideMark/>
          </w:tcPr>
          <w:p w:rsidR="00ED7E1A" w:rsidRPr="009A775F" w:rsidRDefault="00352686" w:rsidP="00033AB3">
            <w:pPr>
              <w:tabs>
                <w:tab w:val="left" w:pos="3495"/>
                <w:tab w:val="left" w:pos="7260"/>
              </w:tabs>
              <w:kinsoku w:val="0"/>
              <w:overflowPunct w:val="0"/>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Alérgica</w:t>
            </w:r>
            <w:r w:rsidR="00033AB3" w:rsidRPr="009A775F">
              <w:rPr>
                <w:rFonts w:ascii="Verdana" w:eastAsia="Times New Roman" w:hAnsi="Verdana" w:cs="Times New Roman"/>
                <w:kern w:val="24"/>
                <w:sz w:val="20"/>
                <w:szCs w:val="20"/>
                <w:lang w:val="es-ES" w:eastAsia="es-ES"/>
              </w:rPr>
              <w:tab/>
              <w:t>4</w:t>
            </w:r>
            <w:r w:rsidR="002C3D00" w:rsidRPr="009A775F">
              <w:rPr>
                <w:rFonts w:ascii="Verdana" w:eastAsia="Times New Roman" w:hAnsi="Verdana" w:cs="Times New Roman"/>
                <w:kern w:val="24"/>
                <w:sz w:val="20"/>
                <w:szCs w:val="20"/>
                <w:lang w:val="es-ES" w:eastAsia="es-ES"/>
              </w:rPr>
              <w:t xml:space="preserve">          </w:t>
            </w:r>
            <w:r w:rsidR="004D016C" w:rsidRPr="009A775F">
              <w:rPr>
                <w:rFonts w:ascii="Verdana" w:eastAsia="Times New Roman" w:hAnsi="Verdana" w:cs="Times New Roman"/>
                <w:kern w:val="24"/>
                <w:sz w:val="20"/>
                <w:szCs w:val="20"/>
                <w:lang w:val="es-ES" w:eastAsia="es-ES"/>
              </w:rPr>
              <w:t>36.4</w:t>
            </w:r>
            <w:r w:rsidR="002C3D00" w:rsidRPr="009A775F">
              <w:rPr>
                <w:rFonts w:ascii="Verdana" w:eastAsia="Times New Roman" w:hAnsi="Verdana" w:cs="Times New Roman"/>
                <w:kern w:val="24"/>
                <w:sz w:val="20"/>
                <w:szCs w:val="20"/>
                <w:lang w:val="es-ES" w:eastAsia="es-ES"/>
              </w:rPr>
              <w:t xml:space="preserve">       </w:t>
            </w:r>
            <w:r w:rsidR="004A316B" w:rsidRPr="009A775F">
              <w:rPr>
                <w:rFonts w:ascii="Verdana" w:eastAsia="Times New Roman" w:hAnsi="Verdana" w:cs="Times New Roman"/>
                <w:kern w:val="24"/>
                <w:sz w:val="20"/>
                <w:szCs w:val="20"/>
                <w:lang w:val="es-ES" w:eastAsia="es-ES"/>
              </w:rPr>
              <w:t xml:space="preserve">                       </w:t>
            </w:r>
            <w:r w:rsidR="002C3D00" w:rsidRPr="009A775F">
              <w:rPr>
                <w:rFonts w:ascii="Verdana" w:eastAsia="Times New Roman" w:hAnsi="Verdana" w:cs="Times New Roman"/>
                <w:kern w:val="24"/>
                <w:sz w:val="20"/>
                <w:szCs w:val="20"/>
                <w:lang w:val="es-ES" w:eastAsia="es-ES"/>
              </w:rPr>
              <w:t xml:space="preserve"> </w:t>
            </w:r>
            <w:r w:rsidR="00033AB3" w:rsidRPr="009A775F">
              <w:rPr>
                <w:rFonts w:ascii="Verdana" w:eastAsia="Times New Roman" w:hAnsi="Verdana" w:cs="Times New Roman"/>
                <w:kern w:val="24"/>
                <w:sz w:val="20"/>
                <w:szCs w:val="20"/>
                <w:lang w:val="es-ES" w:eastAsia="es-ES"/>
              </w:rPr>
              <w:t>8</w:t>
            </w:r>
            <w:r w:rsidR="004A316B" w:rsidRPr="009A775F">
              <w:rPr>
                <w:rFonts w:ascii="Verdana" w:eastAsia="Times New Roman" w:hAnsi="Verdana" w:cs="Times New Roman"/>
                <w:kern w:val="24"/>
                <w:sz w:val="20"/>
                <w:szCs w:val="20"/>
                <w:lang w:val="es-ES" w:eastAsia="es-ES"/>
              </w:rPr>
              <w:t xml:space="preserve">            38.1</w:t>
            </w:r>
          </w:p>
          <w:p w:rsidR="002D1FA8" w:rsidRPr="009A775F" w:rsidRDefault="002D1FA8"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nil"/>
              <w:left w:val="nil"/>
              <w:bottom w:val="nil"/>
              <w:right w:val="nil"/>
            </w:tcBorders>
            <w:shd w:val="clear" w:color="auto" w:fill="auto"/>
            <w:tcMar>
              <w:top w:w="15" w:type="dxa"/>
              <w:left w:w="108" w:type="dxa"/>
              <w:bottom w:w="0" w:type="dxa"/>
              <w:right w:w="108" w:type="dxa"/>
            </w:tcMar>
            <w:hideMark/>
          </w:tcPr>
          <w:p w:rsidR="005E2AAB" w:rsidRPr="009A775F" w:rsidRDefault="005E2AAB" w:rsidP="00853BC9">
            <w:pPr>
              <w:spacing w:after="0" w:line="240" w:lineRule="auto"/>
              <w:rPr>
                <w:rFonts w:ascii="Verdana" w:eastAsia="Times New Roman" w:hAnsi="Verdana" w:cs="Arial"/>
                <w:sz w:val="20"/>
                <w:szCs w:val="20"/>
                <w:lang w:val="es-ES" w:eastAsia="es-ES"/>
              </w:rPr>
            </w:pPr>
          </w:p>
        </w:tc>
        <w:tc>
          <w:tcPr>
            <w:tcW w:w="0" w:type="auto"/>
            <w:tcBorders>
              <w:top w:val="nil"/>
              <w:left w:val="nil"/>
              <w:bottom w:val="nil"/>
              <w:right w:val="nil"/>
            </w:tcBorders>
            <w:shd w:val="clear" w:color="auto" w:fill="auto"/>
            <w:tcMar>
              <w:top w:w="15" w:type="dxa"/>
              <w:left w:w="108" w:type="dxa"/>
              <w:bottom w:w="0" w:type="dxa"/>
              <w:right w:w="108" w:type="dxa"/>
            </w:tcMar>
          </w:tcPr>
          <w:p w:rsidR="00ED7E1A" w:rsidRPr="009A775F" w:rsidRDefault="00ED7E1A"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nil"/>
              <w:left w:val="nil"/>
              <w:bottom w:val="nil"/>
              <w:right w:val="nil"/>
            </w:tcBorders>
            <w:shd w:val="clear" w:color="auto" w:fill="auto"/>
            <w:tcMar>
              <w:top w:w="15" w:type="dxa"/>
              <w:left w:w="108" w:type="dxa"/>
              <w:bottom w:w="0" w:type="dxa"/>
              <w:right w:w="108" w:type="dxa"/>
            </w:tcMar>
          </w:tcPr>
          <w:p w:rsidR="00ED7E1A" w:rsidRPr="009A775F" w:rsidRDefault="00ED7E1A" w:rsidP="00853BC9">
            <w:pPr>
              <w:kinsoku w:val="0"/>
              <w:overflowPunct w:val="0"/>
              <w:spacing w:after="0" w:line="240" w:lineRule="auto"/>
              <w:textAlignment w:val="baseline"/>
              <w:rPr>
                <w:rFonts w:ascii="Verdana" w:eastAsia="Times New Roman" w:hAnsi="Verdana" w:cs="Arial"/>
                <w:sz w:val="20"/>
                <w:szCs w:val="20"/>
                <w:lang w:val="es-ES" w:eastAsia="es-ES"/>
              </w:rPr>
            </w:pPr>
          </w:p>
        </w:tc>
        <w:tc>
          <w:tcPr>
            <w:tcW w:w="0" w:type="auto"/>
            <w:tcBorders>
              <w:top w:val="nil"/>
              <w:left w:val="nil"/>
              <w:bottom w:val="nil"/>
              <w:right w:val="nil"/>
            </w:tcBorders>
            <w:shd w:val="clear" w:color="auto" w:fill="auto"/>
            <w:tcMar>
              <w:top w:w="15" w:type="dxa"/>
              <w:left w:w="108" w:type="dxa"/>
              <w:bottom w:w="0" w:type="dxa"/>
              <w:right w:w="108" w:type="dxa"/>
            </w:tcMar>
            <w:hideMark/>
          </w:tcPr>
          <w:p w:rsidR="005E2AAB" w:rsidRPr="009A775F" w:rsidRDefault="005E2AAB" w:rsidP="00853BC9">
            <w:pPr>
              <w:spacing w:after="0" w:line="240" w:lineRule="auto"/>
              <w:rPr>
                <w:rFonts w:ascii="Verdana" w:eastAsia="Times New Roman" w:hAnsi="Verdana" w:cs="Arial"/>
                <w:sz w:val="20"/>
                <w:szCs w:val="20"/>
                <w:lang w:val="es-ES" w:eastAsia="es-ES"/>
              </w:rPr>
            </w:pPr>
          </w:p>
        </w:tc>
        <w:tc>
          <w:tcPr>
            <w:tcW w:w="0" w:type="auto"/>
            <w:tcBorders>
              <w:top w:val="nil"/>
              <w:left w:val="nil"/>
              <w:bottom w:val="nil"/>
              <w:right w:val="nil"/>
            </w:tcBorders>
          </w:tcPr>
          <w:p w:rsidR="005E2AAB" w:rsidRPr="009A775F" w:rsidRDefault="005E2AAB" w:rsidP="00853BC9">
            <w:pPr>
              <w:spacing w:after="0" w:line="240" w:lineRule="auto"/>
              <w:rPr>
                <w:rFonts w:ascii="Verdana" w:eastAsia="Times New Roman" w:hAnsi="Verdana" w:cs="Arial"/>
                <w:sz w:val="20"/>
                <w:szCs w:val="20"/>
                <w:lang w:val="es-ES" w:eastAsia="es-ES"/>
              </w:rPr>
            </w:pPr>
          </w:p>
        </w:tc>
      </w:tr>
      <w:tr w:rsidR="008A0529" w:rsidRPr="009A775F" w:rsidTr="005E2AAB">
        <w:trPr>
          <w:trHeight w:val="277"/>
        </w:trPr>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352686" w:rsidRPr="009A775F" w:rsidRDefault="00352686" w:rsidP="00033AB3">
            <w:pPr>
              <w:tabs>
                <w:tab w:val="left" w:pos="3540"/>
                <w:tab w:val="left" w:pos="7440"/>
              </w:tabs>
              <w:kinsoku w:val="0"/>
              <w:overflowPunct w:val="0"/>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Sobrecarga de volumen</w:t>
            </w:r>
            <w:r w:rsidR="00033AB3" w:rsidRPr="009A775F">
              <w:rPr>
                <w:rFonts w:ascii="Verdana" w:eastAsia="Times New Roman" w:hAnsi="Verdana" w:cs="Times New Roman"/>
                <w:kern w:val="24"/>
                <w:sz w:val="20"/>
                <w:szCs w:val="20"/>
                <w:lang w:val="es-ES" w:eastAsia="es-ES"/>
              </w:rPr>
              <w:tab/>
              <w:t xml:space="preserve">0           </w:t>
            </w:r>
            <w:r w:rsidR="004D016C" w:rsidRPr="009A775F">
              <w:rPr>
                <w:rFonts w:ascii="Verdana" w:eastAsia="Times New Roman" w:hAnsi="Verdana" w:cs="Times New Roman"/>
                <w:kern w:val="24"/>
                <w:sz w:val="20"/>
                <w:szCs w:val="20"/>
                <w:lang w:val="es-ES" w:eastAsia="es-ES"/>
              </w:rPr>
              <w:t>-</w:t>
            </w:r>
            <w:r w:rsidR="00033AB3" w:rsidRPr="009A775F">
              <w:rPr>
                <w:rFonts w:ascii="Verdana" w:eastAsia="Times New Roman" w:hAnsi="Verdana" w:cs="Times New Roman"/>
                <w:kern w:val="24"/>
                <w:sz w:val="20"/>
                <w:szCs w:val="20"/>
                <w:lang w:val="es-ES" w:eastAsia="es-ES"/>
              </w:rPr>
              <w:t xml:space="preserve">         </w:t>
            </w:r>
            <w:r w:rsidR="004A316B" w:rsidRPr="009A775F">
              <w:rPr>
                <w:rFonts w:ascii="Verdana" w:eastAsia="Times New Roman" w:hAnsi="Verdana" w:cs="Times New Roman"/>
                <w:kern w:val="24"/>
                <w:sz w:val="20"/>
                <w:szCs w:val="20"/>
                <w:lang w:val="es-ES" w:eastAsia="es-ES"/>
              </w:rPr>
              <w:t xml:space="preserve">                         </w:t>
            </w:r>
            <w:r w:rsidR="00033AB3" w:rsidRPr="009A775F">
              <w:rPr>
                <w:rFonts w:ascii="Verdana" w:eastAsia="Times New Roman" w:hAnsi="Verdana" w:cs="Times New Roman"/>
                <w:kern w:val="24"/>
                <w:sz w:val="20"/>
                <w:szCs w:val="20"/>
                <w:lang w:val="es-ES" w:eastAsia="es-ES"/>
              </w:rPr>
              <w:t>1</w:t>
            </w:r>
            <w:r w:rsidR="004A316B" w:rsidRPr="009A775F">
              <w:rPr>
                <w:rFonts w:ascii="Verdana" w:eastAsia="Times New Roman" w:hAnsi="Verdana" w:cs="Times New Roman"/>
                <w:kern w:val="24"/>
                <w:sz w:val="20"/>
                <w:szCs w:val="20"/>
                <w:lang w:val="es-ES" w:eastAsia="es-ES"/>
              </w:rPr>
              <w:t xml:space="preserve">            4.8</w:t>
            </w:r>
          </w:p>
          <w:p w:rsidR="00033AB3" w:rsidRPr="009A775F" w:rsidRDefault="00033AB3" w:rsidP="00853BC9">
            <w:pPr>
              <w:kinsoku w:val="0"/>
              <w:overflowPunct w:val="0"/>
              <w:spacing w:after="0" w:line="240" w:lineRule="auto"/>
              <w:textAlignment w:val="baseline"/>
              <w:rPr>
                <w:rFonts w:ascii="Verdana" w:eastAsia="Times New Roman" w:hAnsi="Verdana" w:cs="Times New Roman"/>
                <w:kern w:val="24"/>
                <w:sz w:val="20"/>
                <w:szCs w:val="20"/>
                <w:lang w:val="es-ES" w:eastAsia="es-ES"/>
              </w:rPr>
            </w:pPr>
          </w:p>
          <w:p w:rsidR="00033AB3" w:rsidRPr="009A775F" w:rsidRDefault="00033AB3" w:rsidP="00033AB3">
            <w:pPr>
              <w:tabs>
                <w:tab w:val="left" w:pos="3435"/>
                <w:tab w:val="left" w:pos="7350"/>
              </w:tabs>
              <w:kinsoku w:val="0"/>
              <w:overflowPunct w:val="0"/>
              <w:spacing w:after="0" w:line="240" w:lineRule="auto"/>
              <w:textAlignment w:val="baseline"/>
              <w:rPr>
                <w:rFonts w:ascii="Verdana" w:eastAsia="Times New Roman" w:hAnsi="Verdana" w:cs="Times New Roman"/>
                <w:kern w:val="24"/>
                <w:sz w:val="20"/>
                <w:szCs w:val="20"/>
                <w:lang w:val="es-ES" w:eastAsia="es-ES"/>
              </w:rPr>
            </w:pPr>
            <w:r w:rsidRPr="009A775F">
              <w:rPr>
                <w:rFonts w:ascii="Verdana" w:eastAsia="Times New Roman" w:hAnsi="Verdana" w:cs="Times New Roman"/>
                <w:kern w:val="24"/>
                <w:sz w:val="20"/>
                <w:szCs w:val="20"/>
                <w:lang w:val="es-ES" w:eastAsia="es-ES"/>
              </w:rPr>
              <w:t>Total</w:t>
            </w:r>
            <w:r w:rsidRPr="009A775F">
              <w:rPr>
                <w:rFonts w:ascii="Verdana" w:eastAsia="Times New Roman" w:hAnsi="Verdana" w:cs="Times New Roman"/>
                <w:kern w:val="24"/>
                <w:sz w:val="20"/>
                <w:szCs w:val="20"/>
                <w:lang w:val="es-ES" w:eastAsia="es-ES"/>
              </w:rPr>
              <w:tab/>
              <w:t>11</w:t>
            </w:r>
            <w:r w:rsidR="002C3D00" w:rsidRPr="009A775F">
              <w:rPr>
                <w:rFonts w:ascii="Verdana" w:eastAsia="Times New Roman" w:hAnsi="Verdana" w:cs="Times New Roman"/>
                <w:kern w:val="24"/>
                <w:sz w:val="20"/>
                <w:szCs w:val="20"/>
                <w:lang w:val="es-ES" w:eastAsia="es-ES"/>
              </w:rPr>
              <w:t xml:space="preserve">          </w:t>
            </w:r>
            <w:r w:rsidR="004D016C" w:rsidRPr="009A775F">
              <w:rPr>
                <w:rFonts w:ascii="Verdana" w:eastAsia="Times New Roman" w:hAnsi="Verdana" w:cs="Times New Roman"/>
                <w:kern w:val="24"/>
                <w:sz w:val="20"/>
                <w:szCs w:val="20"/>
                <w:lang w:val="es-ES" w:eastAsia="es-ES"/>
              </w:rPr>
              <w:t>100</w:t>
            </w:r>
            <w:r w:rsidR="002C3D00" w:rsidRPr="009A775F">
              <w:rPr>
                <w:rFonts w:ascii="Verdana" w:eastAsia="Times New Roman" w:hAnsi="Verdana" w:cs="Times New Roman"/>
                <w:kern w:val="24"/>
                <w:sz w:val="20"/>
                <w:szCs w:val="20"/>
                <w:lang w:val="es-ES" w:eastAsia="es-ES"/>
              </w:rPr>
              <w:t xml:space="preserve">       </w:t>
            </w:r>
            <w:r w:rsidR="004A316B" w:rsidRPr="009A775F">
              <w:rPr>
                <w:rFonts w:ascii="Verdana" w:eastAsia="Times New Roman" w:hAnsi="Verdana" w:cs="Times New Roman"/>
                <w:kern w:val="24"/>
                <w:sz w:val="20"/>
                <w:szCs w:val="20"/>
                <w:lang w:val="es-ES" w:eastAsia="es-ES"/>
              </w:rPr>
              <w:t xml:space="preserve">                       </w:t>
            </w:r>
            <w:r w:rsidRPr="009A775F">
              <w:rPr>
                <w:rFonts w:ascii="Verdana" w:eastAsia="Times New Roman" w:hAnsi="Verdana" w:cs="Times New Roman"/>
                <w:kern w:val="24"/>
                <w:sz w:val="20"/>
                <w:szCs w:val="20"/>
                <w:lang w:val="es-ES" w:eastAsia="es-ES"/>
              </w:rPr>
              <w:t>21</w:t>
            </w:r>
            <w:r w:rsidR="004A316B" w:rsidRPr="009A775F">
              <w:rPr>
                <w:rFonts w:ascii="Verdana" w:eastAsia="Times New Roman" w:hAnsi="Verdana" w:cs="Times New Roman"/>
                <w:kern w:val="24"/>
                <w:sz w:val="20"/>
                <w:szCs w:val="20"/>
                <w:lang w:val="es-ES" w:eastAsia="es-ES"/>
              </w:rPr>
              <w:t xml:space="preserve">           100</w:t>
            </w: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352686" w:rsidRPr="009A775F" w:rsidRDefault="00352686" w:rsidP="00853BC9">
            <w:pPr>
              <w:spacing w:after="0" w:line="240" w:lineRule="auto"/>
              <w:rPr>
                <w:rFonts w:ascii="Verdana" w:eastAsia="Times New Roman" w:hAnsi="Verdana" w:cs="Arial"/>
                <w:sz w:val="20"/>
                <w:szCs w:val="20"/>
                <w:lang w:val="es-ES"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352686" w:rsidRPr="009A775F" w:rsidRDefault="00352686" w:rsidP="00853BC9">
            <w:pPr>
              <w:kinsoku w:val="0"/>
              <w:overflowPunct w:val="0"/>
              <w:spacing w:after="0" w:line="240" w:lineRule="auto"/>
              <w:textAlignment w:val="baseline"/>
              <w:rPr>
                <w:rFonts w:ascii="Verdana" w:eastAsia="Times New Roman" w:hAnsi="Verdana" w:cs="Times New Roman"/>
                <w:kern w:val="24"/>
                <w:sz w:val="20"/>
                <w:szCs w:val="20"/>
                <w:lang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352686" w:rsidRPr="009A775F" w:rsidRDefault="00352686" w:rsidP="00853BC9">
            <w:pPr>
              <w:kinsoku w:val="0"/>
              <w:overflowPunct w:val="0"/>
              <w:spacing w:after="0" w:line="240" w:lineRule="auto"/>
              <w:textAlignment w:val="baseline"/>
              <w:rPr>
                <w:rFonts w:ascii="Verdana" w:eastAsia="Times New Roman" w:hAnsi="Verdana" w:cs="Times New Roman"/>
                <w:kern w:val="24"/>
                <w:sz w:val="20"/>
                <w:szCs w:val="20"/>
                <w:lang w:eastAsia="es-ES"/>
              </w:rPr>
            </w:pPr>
          </w:p>
        </w:tc>
        <w:tc>
          <w:tcPr>
            <w:tcW w:w="0" w:type="auto"/>
            <w:tcBorders>
              <w:top w:val="nil"/>
              <w:left w:val="nil"/>
              <w:bottom w:val="single" w:sz="4" w:space="0" w:color="auto"/>
              <w:right w:val="nil"/>
            </w:tcBorders>
            <w:shd w:val="clear" w:color="auto" w:fill="auto"/>
            <w:tcMar>
              <w:top w:w="15" w:type="dxa"/>
              <w:left w:w="108" w:type="dxa"/>
              <w:bottom w:w="0" w:type="dxa"/>
              <w:right w:w="108" w:type="dxa"/>
            </w:tcMar>
          </w:tcPr>
          <w:p w:rsidR="00352686" w:rsidRPr="009A775F" w:rsidRDefault="00352686" w:rsidP="00853BC9">
            <w:pPr>
              <w:spacing w:after="0" w:line="240" w:lineRule="auto"/>
              <w:rPr>
                <w:rFonts w:ascii="Verdana" w:eastAsia="Times New Roman" w:hAnsi="Verdana" w:cs="Arial"/>
                <w:sz w:val="20"/>
                <w:szCs w:val="20"/>
                <w:lang w:val="es-ES" w:eastAsia="es-ES"/>
              </w:rPr>
            </w:pPr>
          </w:p>
        </w:tc>
        <w:tc>
          <w:tcPr>
            <w:tcW w:w="0" w:type="auto"/>
            <w:tcBorders>
              <w:top w:val="nil"/>
              <w:left w:val="nil"/>
              <w:bottom w:val="single" w:sz="4" w:space="0" w:color="auto"/>
              <w:right w:val="nil"/>
            </w:tcBorders>
          </w:tcPr>
          <w:p w:rsidR="00352686" w:rsidRPr="009A775F" w:rsidRDefault="00352686" w:rsidP="00853BC9">
            <w:pPr>
              <w:spacing w:after="0" w:line="240" w:lineRule="auto"/>
              <w:rPr>
                <w:rFonts w:ascii="Verdana" w:eastAsia="Times New Roman" w:hAnsi="Verdana" w:cs="Arial"/>
                <w:sz w:val="20"/>
                <w:szCs w:val="20"/>
                <w:lang w:val="es-ES" w:eastAsia="es-ES"/>
              </w:rPr>
            </w:pPr>
          </w:p>
        </w:tc>
      </w:tr>
    </w:tbl>
    <w:p w:rsidR="00AE6185" w:rsidRPr="009A775F" w:rsidRDefault="00AE6185" w:rsidP="00AE6185">
      <w:pPr>
        <w:spacing w:after="0" w:line="240" w:lineRule="auto"/>
        <w:jc w:val="both"/>
        <w:rPr>
          <w:rFonts w:ascii="Verdana" w:hAnsi="Verdana"/>
          <w:sz w:val="20"/>
          <w:szCs w:val="20"/>
          <w:lang w:val="es-ES"/>
        </w:rPr>
      </w:pPr>
      <w:r w:rsidRPr="009A775F">
        <w:rPr>
          <w:rFonts w:ascii="Verdana" w:hAnsi="Verdana"/>
          <w:sz w:val="20"/>
          <w:szCs w:val="20"/>
          <w:lang w:val="es-ES"/>
        </w:rPr>
        <w:t>Fuente: Informes del Comité Transfusional Hospitalario</w:t>
      </w:r>
    </w:p>
    <w:p w:rsidR="005E2AAB" w:rsidRPr="009A775F" w:rsidRDefault="005E2AAB" w:rsidP="00360753">
      <w:pPr>
        <w:autoSpaceDE w:val="0"/>
        <w:autoSpaceDN w:val="0"/>
        <w:adjustRightInd w:val="0"/>
        <w:spacing w:after="0" w:line="240" w:lineRule="auto"/>
        <w:jc w:val="both"/>
        <w:rPr>
          <w:rFonts w:ascii="Verdana" w:hAnsi="Verdana" w:cs="Arial"/>
          <w:sz w:val="20"/>
          <w:szCs w:val="20"/>
          <w:lang w:val="es-ES"/>
        </w:rPr>
      </w:pPr>
    </w:p>
    <w:p w:rsidR="002459A5" w:rsidRPr="009A775F" w:rsidRDefault="00033AB3" w:rsidP="00360753">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 xml:space="preserve">En el año 2015 hubo </w:t>
      </w:r>
      <w:r w:rsidR="002C3D00" w:rsidRPr="009A775F">
        <w:rPr>
          <w:rFonts w:ascii="Verdana" w:hAnsi="Verdana" w:cs="Arial"/>
          <w:sz w:val="20"/>
          <w:szCs w:val="20"/>
          <w:lang w:val="es-ES"/>
        </w:rPr>
        <w:t>una notificación</w:t>
      </w:r>
      <w:r w:rsidRPr="009A775F">
        <w:rPr>
          <w:rFonts w:ascii="Verdana" w:hAnsi="Verdana" w:cs="Arial"/>
          <w:sz w:val="20"/>
          <w:szCs w:val="20"/>
          <w:lang w:val="es-ES"/>
        </w:rPr>
        <w:t xml:space="preserve"> mayor de las Reacciones Adversas</w:t>
      </w:r>
      <w:r w:rsidR="002C3D00" w:rsidRPr="009A775F">
        <w:rPr>
          <w:rFonts w:ascii="Verdana" w:hAnsi="Verdana" w:cs="Arial"/>
          <w:sz w:val="20"/>
          <w:szCs w:val="20"/>
          <w:lang w:val="es-ES"/>
        </w:rPr>
        <w:t xml:space="preserve"> siendo la diferencia de 10 con respecto al 2014. La reacción inmediata febril no hemolítica fue la que más se diagnosticó en ambos años. No hubo ningún caso de sobrecarga de volumen en el 2014. </w:t>
      </w:r>
    </w:p>
    <w:p w:rsidR="002C3D00" w:rsidRPr="009A775F" w:rsidRDefault="002C3D00" w:rsidP="00360753">
      <w:pPr>
        <w:autoSpaceDE w:val="0"/>
        <w:autoSpaceDN w:val="0"/>
        <w:adjustRightInd w:val="0"/>
        <w:spacing w:after="0" w:line="240" w:lineRule="auto"/>
        <w:jc w:val="both"/>
        <w:rPr>
          <w:rFonts w:ascii="Verdana" w:hAnsi="Verdana" w:cs="Arial"/>
          <w:sz w:val="20"/>
          <w:szCs w:val="20"/>
          <w:lang w:val="es-ES"/>
        </w:rPr>
      </w:pPr>
    </w:p>
    <w:p w:rsidR="002E62B1" w:rsidRPr="009A775F" w:rsidRDefault="002E62B1" w:rsidP="00360753">
      <w:pPr>
        <w:autoSpaceDE w:val="0"/>
        <w:autoSpaceDN w:val="0"/>
        <w:adjustRightInd w:val="0"/>
        <w:spacing w:after="0" w:line="240" w:lineRule="auto"/>
        <w:jc w:val="both"/>
        <w:rPr>
          <w:rFonts w:ascii="Verdana" w:hAnsi="Verdana" w:cs="Arial"/>
          <w:sz w:val="20"/>
          <w:szCs w:val="20"/>
          <w:lang w:val="es-ES"/>
        </w:rPr>
      </w:pPr>
    </w:p>
    <w:p w:rsidR="00F90764" w:rsidRPr="009A775F" w:rsidRDefault="00F90764" w:rsidP="00360753">
      <w:pPr>
        <w:autoSpaceDE w:val="0"/>
        <w:autoSpaceDN w:val="0"/>
        <w:adjustRightInd w:val="0"/>
        <w:spacing w:after="0" w:line="240" w:lineRule="auto"/>
        <w:jc w:val="both"/>
        <w:rPr>
          <w:rFonts w:ascii="Verdana" w:hAnsi="Verdana" w:cs="Arial"/>
          <w:b/>
          <w:sz w:val="20"/>
          <w:szCs w:val="20"/>
          <w:lang w:val="es-ES"/>
        </w:rPr>
      </w:pPr>
      <w:r w:rsidRPr="009A775F">
        <w:rPr>
          <w:rFonts w:ascii="Verdana" w:hAnsi="Verdana" w:cs="Arial"/>
          <w:b/>
          <w:sz w:val="20"/>
          <w:szCs w:val="20"/>
          <w:lang w:val="es-ES"/>
        </w:rPr>
        <w:t>Discusión</w:t>
      </w:r>
    </w:p>
    <w:p w:rsidR="0073565E" w:rsidRPr="009A775F" w:rsidRDefault="00E97E9B" w:rsidP="00360753">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 xml:space="preserve"> </w:t>
      </w:r>
    </w:p>
    <w:p w:rsidR="00993904" w:rsidRPr="009A775F" w:rsidRDefault="00F05205" w:rsidP="00D035FB">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 xml:space="preserve">Es evidente el decrecimiento del total de pacientes transfundidos </w:t>
      </w:r>
      <w:r w:rsidR="0073565E" w:rsidRPr="009A775F">
        <w:rPr>
          <w:rFonts w:ascii="Verdana" w:hAnsi="Verdana" w:cs="Arial"/>
          <w:sz w:val="20"/>
          <w:szCs w:val="20"/>
          <w:lang w:val="es-ES"/>
        </w:rPr>
        <w:t>en el 2015</w:t>
      </w:r>
      <w:r w:rsidRPr="009A775F">
        <w:rPr>
          <w:rFonts w:ascii="Verdana" w:hAnsi="Verdana" w:cs="Arial"/>
          <w:sz w:val="20"/>
          <w:szCs w:val="20"/>
          <w:lang w:val="es-ES"/>
        </w:rPr>
        <w:t xml:space="preserve"> </w:t>
      </w:r>
      <w:r w:rsidR="0073565E" w:rsidRPr="009A775F">
        <w:rPr>
          <w:rFonts w:ascii="Verdana" w:hAnsi="Verdana" w:cs="Arial"/>
          <w:sz w:val="20"/>
          <w:szCs w:val="20"/>
          <w:lang w:val="es-ES"/>
        </w:rPr>
        <w:t xml:space="preserve">con respecto al  </w:t>
      </w:r>
      <w:r w:rsidR="00DB26DC" w:rsidRPr="009A775F">
        <w:rPr>
          <w:rFonts w:ascii="Verdana" w:hAnsi="Verdana" w:cs="Arial"/>
          <w:sz w:val="20"/>
          <w:szCs w:val="20"/>
          <w:lang w:val="es-ES"/>
        </w:rPr>
        <w:t>año precedente</w:t>
      </w:r>
      <w:r w:rsidR="0073565E" w:rsidRPr="009A775F">
        <w:rPr>
          <w:rFonts w:ascii="Verdana" w:hAnsi="Verdana" w:cs="Arial"/>
          <w:sz w:val="20"/>
          <w:szCs w:val="20"/>
          <w:lang w:val="es-ES"/>
        </w:rPr>
        <w:t xml:space="preserve">. </w:t>
      </w:r>
      <w:r w:rsidR="00DB26DC" w:rsidRPr="009A775F">
        <w:rPr>
          <w:rFonts w:ascii="Verdana" w:hAnsi="Verdana" w:cs="Arial"/>
          <w:sz w:val="20"/>
          <w:szCs w:val="20"/>
          <w:lang w:val="es-ES"/>
        </w:rPr>
        <w:t>Este hecho viene dado por varias causas. Durante</w:t>
      </w:r>
      <w:r w:rsidRPr="009A775F">
        <w:rPr>
          <w:rFonts w:ascii="Verdana" w:hAnsi="Verdana" w:cs="Arial"/>
          <w:sz w:val="20"/>
          <w:szCs w:val="20"/>
          <w:lang w:val="es-ES"/>
        </w:rPr>
        <w:t xml:space="preserve"> el año 2014 se produjo la reorganización de los servicios en el sector</w:t>
      </w:r>
      <w:r w:rsidR="00E97E9B" w:rsidRPr="009A775F">
        <w:rPr>
          <w:rFonts w:ascii="Verdana" w:hAnsi="Verdana" w:cs="Arial"/>
          <w:sz w:val="20"/>
          <w:szCs w:val="20"/>
          <w:lang w:val="es-ES"/>
        </w:rPr>
        <w:t xml:space="preserve"> de la salud</w:t>
      </w:r>
      <w:r w:rsidRPr="009A775F">
        <w:rPr>
          <w:rFonts w:ascii="Verdana" w:hAnsi="Verdana" w:cs="Arial"/>
          <w:sz w:val="20"/>
          <w:szCs w:val="20"/>
          <w:lang w:val="es-ES"/>
        </w:rPr>
        <w:t xml:space="preserve">, </w:t>
      </w:r>
      <w:r w:rsidR="00DB26DC" w:rsidRPr="009A775F">
        <w:rPr>
          <w:rFonts w:ascii="Verdana" w:hAnsi="Verdana" w:cs="Arial"/>
          <w:sz w:val="20"/>
          <w:szCs w:val="20"/>
          <w:lang w:val="es-ES"/>
        </w:rPr>
        <w:t xml:space="preserve">y como consecuencia se </w:t>
      </w:r>
      <w:r w:rsidR="00993904" w:rsidRPr="009A775F">
        <w:rPr>
          <w:rFonts w:ascii="Verdana" w:hAnsi="Verdana" w:cs="Arial"/>
          <w:sz w:val="20"/>
          <w:szCs w:val="20"/>
          <w:lang w:val="es-ES"/>
        </w:rPr>
        <w:t>trasladan</w:t>
      </w:r>
      <w:r w:rsidRPr="009A775F">
        <w:rPr>
          <w:rFonts w:ascii="Verdana" w:hAnsi="Verdana" w:cs="Arial"/>
          <w:sz w:val="20"/>
          <w:szCs w:val="20"/>
          <w:lang w:val="es-ES"/>
        </w:rPr>
        <w:t xml:space="preserve"> hacia el </w:t>
      </w:r>
      <w:r w:rsidR="0073565E" w:rsidRPr="009A775F">
        <w:rPr>
          <w:rFonts w:ascii="Verdana" w:hAnsi="Verdana" w:cs="Arial"/>
          <w:sz w:val="20"/>
          <w:szCs w:val="20"/>
          <w:lang w:val="es-ES"/>
        </w:rPr>
        <w:t xml:space="preserve">Hospital Abel Santamaría Cuadrado los </w:t>
      </w:r>
      <w:r w:rsidRPr="009A775F">
        <w:rPr>
          <w:rFonts w:ascii="Verdana" w:hAnsi="Verdana" w:cs="Arial"/>
          <w:sz w:val="20"/>
          <w:szCs w:val="20"/>
          <w:lang w:val="es-ES"/>
        </w:rPr>
        <w:t xml:space="preserve"> </w:t>
      </w:r>
      <w:r w:rsidR="0073565E" w:rsidRPr="009A775F">
        <w:rPr>
          <w:rFonts w:ascii="Verdana" w:hAnsi="Verdana" w:cs="Arial"/>
          <w:sz w:val="20"/>
          <w:szCs w:val="20"/>
          <w:lang w:val="es-ES"/>
        </w:rPr>
        <w:t>de</w:t>
      </w:r>
      <w:r w:rsidRPr="009A775F">
        <w:rPr>
          <w:rFonts w:ascii="Verdana" w:hAnsi="Verdana" w:cs="Arial"/>
          <w:sz w:val="20"/>
          <w:szCs w:val="20"/>
          <w:lang w:val="es-ES"/>
        </w:rPr>
        <w:t xml:space="preserve"> cardiología, neumología y </w:t>
      </w:r>
      <w:r w:rsidR="00DB26DC" w:rsidRPr="009A775F">
        <w:rPr>
          <w:rFonts w:ascii="Verdana" w:hAnsi="Verdana" w:cs="Arial"/>
          <w:sz w:val="20"/>
          <w:szCs w:val="20"/>
          <w:lang w:val="es-ES"/>
        </w:rPr>
        <w:t>hematología;</w:t>
      </w:r>
      <w:r w:rsidRPr="009A775F">
        <w:rPr>
          <w:rFonts w:ascii="Verdana" w:hAnsi="Verdana" w:cs="Arial"/>
          <w:sz w:val="20"/>
          <w:szCs w:val="20"/>
          <w:lang w:val="es-ES"/>
        </w:rPr>
        <w:t xml:space="preserve"> </w:t>
      </w:r>
      <w:r w:rsidR="00993904" w:rsidRPr="009A775F">
        <w:rPr>
          <w:rFonts w:ascii="Verdana" w:hAnsi="Verdana" w:cs="Arial"/>
          <w:sz w:val="20"/>
          <w:szCs w:val="20"/>
          <w:lang w:val="es-ES"/>
        </w:rPr>
        <w:t>e</w:t>
      </w:r>
      <w:r w:rsidRPr="009A775F">
        <w:rPr>
          <w:rFonts w:ascii="Verdana" w:hAnsi="Verdana" w:cs="Arial"/>
          <w:sz w:val="20"/>
          <w:szCs w:val="20"/>
          <w:lang w:val="es-ES"/>
        </w:rPr>
        <w:t xml:space="preserve">ste último </w:t>
      </w:r>
      <w:r w:rsidR="00993904" w:rsidRPr="009A775F">
        <w:rPr>
          <w:rFonts w:ascii="Verdana" w:hAnsi="Verdana" w:cs="Arial"/>
          <w:sz w:val="20"/>
          <w:szCs w:val="20"/>
          <w:lang w:val="es-ES"/>
        </w:rPr>
        <w:t xml:space="preserve">en particular </w:t>
      </w:r>
      <w:r w:rsidRPr="009A775F">
        <w:rPr>
          <w:rFonts w:ascii="Verdana" w:hAnsi="Verdana" w:cs="Arial"/>
          <w:sz w:val="20"/>
          <w:szCs w:val="20"/>
          <w:lang w:val="es-ES"/>
        </w:rPr>
        <w:t>considerado como uno de más</w:t>
      </w:r>
      <w:r w:rsidR="0073565E" w:rsidRPr="009A775F">
        <w:rPr>
          <w:rFonts w:ascii="Verdana" w:hAnsi="Verdana" w:cs="Arial"/>
          <w:sz w:val="20"/>
          <w:szCs w:val="20"/>
          <w:lang w:val="es-ES"/>
        </w:rPr>
        <w:t xml:space="preserve"> consumidores de hemoderivados</w:t>
      </w:r>
      <w:r w:rsidR="00993904" w:rsidRPr="009A775F">
        <w:rPr>
          <w:rFonts w:ascii="Verdana" w:hAnsi="Verdana" w:cs="Arial"/>
          <w:sz w:val="20"/>
          <w:szCs w:val="20"/>
          <w:lang w:val="es-ES"/>
        </w:rPr>
        <w:t xml:space="preserve"> hasta esta fecha.</w:t>
      </w:r>
      <w:r w:rsidR="00E97E9B" w:rsidRPr="009A775F">
        <w:rPr>
          <w:rFonts w:ascii="Verdana" w:hAnsi="Verdana" w:cs="Arial"/>
          <w:sz w:val="20"/>
          <w:szCs w:val="20"/>
          <w:lang w:val="es-ES"/>
        </w:rPr>
        <w:t xml:space="preserve"> Por otro lado en</w:t>
      </w:r>
      <w:r w:rsidRPr="009A775F">
        <w:rPr>
          <w:rFonts w:ascii="Verdana" w:hAnsi="Verdana" w:cs="Arial"/>
          <w:sz w:val="20"/>
          <w:szCs w:val="20"/>
          <w:lang w:val="es-ES"/>
        </w:rPr>
        <w:t xml:space="preserve"> el 2015 </w:t>
      </w:r>
      <w:r w:rsidR="00DB26DC" w:rsidRPr="009A775F">
        <w:rPr>
          <w:rFonts w:ascii="Verdana" w:hAnsi="Verdana" w:cs="Arial"/>
          <w:sz w:val="20"/>
          <w:szCs w:val="20"/>
          <w:lang w:val="es-ES"/>
        </w:rPr>
        <w:t>se logra</w:t>
      </w:r>
      <w:r w:rsidRPr="009A775F">
        <w:rPr>
          <w:rFonts w:ascii="Verdana" w:hAnsi="Verdana" w:cs="Arial"/>
          <w:sz w:val="20"/>
          <w:szCs w:val="20"/>
          <w:lang w:val="es-ES"/>
        </w:rPr>
        <w:t xml:space="preserve"> perfeccionar </w:t>
      </w:r>
      <w:r w:rsidR="00993904" w:rsidRPr="009A775F">
        <w:rPr>
          <w:rFonts w:ascii="Verdana" w:hAnsi="Verdana" w:cs="Arial"/>
          <w:sz w:val="20"/>
          <w:szCs w:val="20"/>
          <w:lang w:val="es-ES"/>
        </w:rPr>
        <w:t xml:space="preserve">la </w:t>
      </w:r>
      <w:r w:rsidRPr="009A775F">
        <w:rPr>
          <w:rFonts w:ascii="Verdana" w:hAnsi="Verdana" w:cs="Arial"/>
          <w:sz w:val="20"/>
          <w:szCs w:val="20"/>
          <w:lang w:val="es-ES"/>
        </w:rPr>
        <w:t xml:space="preserve">estructura </w:t>
      </w:r>
      <w:r w:rsidR="00DB26DC" w:rsidRPr="009A775F">
        <w:rPr>
          <w:rFonts w:ascii="Verdana" w:hAnsi="Verdana" w:cs="Arial"/>
          <w:sz w:val="20"/>
          <w:szCs w:val="20"/>
          <w:lang w:val="es-ES"/>
        </w:rPr>
        <w:t xml:space="preserve">del comité </w:t>
      </w:r>
      <w:r w:rsidRPr="009A775F">
        <w:rPr>
          <w:rFonts w:ascii="Verdana" w:hAnsi="Verdana" w:cs="Arial"/>
          <w:sz w:val="20"/>
          <w:szCs w:val="20"/>
          <w:lang w:val="es-ES"/>
        </w:rPr>
        <w:t>con nuevos</w:t>
      </w:r>
      <w:r w:rsidR="00DB26DC" w:rsidRPr="009A775F">
        <w:rPr>
          <w:rFonts w:ascii="Verdana" w:hAnsi="Verdana" w:cs="Arial"/>
          <w:sz w:val="20"/>
          <w:szCs w:val="20"/>
          <w:lang w:val="es-ES"/>
        </w:rPr>
        <w:t xml:space="preserve"> especialistas y funcionarios, a la vez que se retoma</w:t>
      </w:r>
      <w:r w:rsidRPr="009A775F">
        <w:rPr>
          <w:rFonts w:ascii="Verdana" w:hAnsi="Verdana" w:cs="Arial"/>
          <w:sz w:val="20"/>
          <w:szCs w:val="20"/>
          <w:lang w:val="es-ES"/>
        </w:rPr>
        <w:t xml:space="preserve"> la evaluación  de las indicaciones </w:t>
      </w:r>
      <w:r w:rsidR="00993904" w:rsidRPr="009A775F">
        <w:rPr>
          <w:rFonts w:ascii="Verdana" w:hAnsi="Verdana" w:cs="Arial"/>
          <w:sz w:val="20"/>
          <w:szCs w:val="20"/>
          <w:lang w:val="es-ES"/>
        </w:rPr>
        <w:t xml:space="preserve">médicas y la </w:t>
      </w:r>
      <w:r w:rsidR="00DB26DC" w:rsidRPr="009A775F">
        <w:rPr>
          <w:rFonts w:ascii="Verdana" w:hAnsi="Verdana" w:cs="Arial"/>
          <w:sz w:val="20"/>
          <w:szCs w:val="20"/>
          <w:lang w:val="es-ES"/>
        </w:rPr>
        <w:t xml:space="preserve">incorporación de </w:t>
      </w:r>
      <w:r w:rsidR="00E97E9B" w:rsidRPr="009A775F">
        <w:rPr>
          <w:rFonts w:ascii="Verdana" w:hAnsi="Verdana" w:cs="Arial"/>
          <w:sz w:val="20"/>
          <w:szCs w:val="20"/>
          <w:lang w:val="es-ES"/>
        </w:rPr>
        <w:t xml:space="preserve">nuevos acápites en </w:t>
      </w:r>
      <w:r w:rsidR="00993904" w:rsidRPr="009A775F">
        <w:rPr>
          <w:rFonts w:ascii="Verdana" w:hAnsi="Verdana" w:cs="Arial"/>
          <w:sz w:val="20"/>
          <w:szCs w:val="20"/>
          <w:lang w:val="es-ES"/>
        </w:rPr>
        <w:t>la</w:t>
      </w:r>
      <w:r w:rsidR="00E97E9B" w:rsidRPr="009A775F">
        <w:rPr>
          <w:rFonts w:ascii="Verdana" w:hAnsi="Verdana" w:cs="Arial"/>
          <w:sz w:val="20"/>
          <w:szCs w:val="20"/>
          <w:lang w:val="es-ES"/>
        </w:rPr>
        <w:t xml:space="preserve"> estructura y recogida de datos</w:t>
      </w:r>
      <w:r w:rsidR="00DB26DC" w:rsidRPr="009A775F">
        <w:rPr>
          <w:rFonts w:ascii="Verdana" w:hAnsi="Verdana" w:cs="Arial"/>
          <w:sz w:val="20"/>
          <w:szCs w:val="20"/>
          <w:lang w:val="es-ES"/>
        </w:rPr>
        <w:t xml:space="preserve"> del Informe Mensual del Comité de Transfusión Hospitalaria,</w:t>
      </w:r>
      <w:r w:rsidR="00AB0D40" w:rsidRPr="009A775F">
        <w:rPr>
          <w:rFonts w:ascii="Verdana" w:hAnsi="Verdana" w:cs="Arial"/>
          <w:sz w:val="20"/>
          <w:szCs w:val="20"/>
          <w:lang w:val="es-ES"/>
        </w:rPr>
        <w:t xml:space="preserve"> lo</w:t>
      </w:r>
      <w:r w:rsidR="00E97E9B" w:rsidRPr="009A775F">
        <w:rPr>
          <w:rFonts w:ascii="Verdana" w:hAnsi="Verdana" w:cs="Arial"/>
          <w:sz w:val="20"/>
          <w:szCs w:val="20"/>
          <w:lang w:val="es-ES"/>
        </w:rPr>
        <w:t xml:space="preserve"> cual sirvió para lograr mayor calidad en los servicios prestados y rigor en la indicación de sangre y sus </w:t>
      </w:r>
      <w:r w:rsidR="00DB26DC" w:rsidRPr="009A775F">
        <w:rPr>
          <w:rFonts w:ascii="Verdana" w:hAnsi="Verdana" w:cs="Arial"/>
          <w:sz w:val="20"/>
          <w:szCs w:val="20"/>
          <w:lang w:val="es-ES"/>
        </w:rPr>
        <w:t>componentes.</w:t>
      </w:r>
      <w:r w:rsidRPr="009A775F">
        <w:rPr>
          <w:rFonts w:ascii="Verdana" w:hAnsi="Verdana" w:cs="Arial"/>
          <w:sz w:val="20"/>
          <w:szCs w:val="20"/>
          <w:lang w:val="es-ES"/>
        </w:rPr>
        <w:t xml:space="preserve"> Por tanto</w:t>
      </w:r>
      <w:r w:rsidR="00E97E9B" w:rsidRPr="009A775F">
        <w:rPr>
          <w:rFonts w:ascii="Verdana" w:hAnsi="Verdana" w:cs="Arial"/>
          <w:sz w:val="20"/>
          <w:szCs w:val="20"/>
          <w:lang w:val="es-ES"/>
        </w:rPr>
        <w:t xml:space="preserve"> los resultados aquí mostrados</w:t>
      </w:r>
      <w:r w:rsidRPr="009A775F">
        <w:rPr>
          <w:rFonts w:ascii="Verdana" w:hAnsi="Verdana" w:cs="Arial"/>
          <w:sz w:val="20"/>
          <w:szCs w:val="20"/>
          <w:lang w:val="es-ES"/>
        </w:rPr>
        <w:t xml:space="preserve"> constituye</w:t>
      </w:r>
      <w:r w:rsidR="00E97E9B" w:rsidRPr="009A775F">
        <w:rPr>
          <w:rFonts w:ascii="Verdana" w:hAnsi="Verdana" w:cs="Arial"/>
          <w:sz w:val="20"/>
          <w:szCs w:val="20"/>
          <w:lang w:val="es-ES"/>
        </w:rPr>
        <w:t>n</w:t>
      </w:r>
      <w:r w:rsidRPr="009A775F">
        <w:rPr>
          <w:rFonts w:ascii="Verdana" w:hAnsi="Verdana" w:cs="Arial"/>
          <w:sz w:val="20"/>
          <w:szCs w:val="20"/>
          <w:lang w:val="es-ES"/>
        </w:rPr>
        <w:t xml:space="preserve"> el inicio de una caracterización que servirá de guía para poder darle seguimiento en los próximos años.</w:t>
      </w:r>
      <w:r w:rsidR="00E2084A" w:rsidRPr="009A775F">
        <w:rPr>
          <w:rFonts w:ascii="Verdana" w:hAnsi="Verdana" w:cs="Arial"/>
          <w:sz w:val="20"/>
          <w:szCs w:val="20"/>
          <w:lang w:val="es-ES"/>
        </w:rPr>
        <w:t xml:space="preserve"> </w:t>
      </w:r>
    </w:p>
    <w:p w:rsidR="00FB6650" w:rsidRPr="009A775F" w:rsidRDefault="00FB6650" w:rsidP="00D035FB">
      <w:pPr>
        <w:autoSpaceDE w:val="0"/>
        <w:autoSpaceDN w:val="0"/>
        <w:adjustRightInd w:val="0"/>
        <w:spacing w:after="0" w:line="240" w:lineRule="auto"/>
        <w:jc w:val="both"/>
        <w:rPr>
          <w:rFonts w:ascii="Verdana" w:hAnsi="Verdana" w:cs="Arial"/>
          <w:sz w:val="20"/>
          <w:szCs w:val="20"/>
          <w:lang w:val="es-ES"/>
        </w:rPr>
      </w:pPr>
    </w:p>
    <w:p w:rsidR="00993904" w:rsidRPr="009A775F" w:rsidRDefault="00BC5189" w:rsidP="00777225">
      <w:pPr>
        <w:autoSpaceDE w:val="0"/>
        <w:autoSpaceDN w:val="0"/>
        <w:adjustRightInd w:val="0"/>
        <w:spacing w:after="0" w:line="240" w:lineRule="auto"/>
        <w:jc w:val="both"/>
        <w:rPr>
          <w:rFonts w:ascii="Verdana" w:eastAsia="Times New Roman" w:hAnsi="Verdana" w:cs="Times New Roman"/>
          <w:sz w:val="20"/>
          <w:szCs w:val="20"/>
          <w:lang w:val="es-ES" w:eastAsia="es-PR"/>
        </w:rPr>
      </w:pPr>
      <w:proofErr w:type="spellStart"/>
      <w:r w:rsidRPr="009A775F">
        <w:rPr>
          <w:rFonts w:ascii="Verdana" w:hAnsi="Verdana" w:cs="Arial"/>
          <w:sz w:val="20"/>
          <w:szCs w:val="20"/>
          <w:lang w:val="es-ES"/>
        </w:rPr>
        <w:t>Mildrey</w:t>
      </w:r>
      <w:proofErr w:type="spellEnd"/>
      <w:r w:rsidRPr="009A775F">
        <w:rPr>
          <w:rFonts w:ascii="Verdana" w:hAnsi="Verdana" w:cs="Arial"/>
          <w:sz w:val="20"/>
          <w:szCs w:val="20"/>
          <w:lang w:val="es-ES"/>
        </w:rPr>
        <w:t xml:space="preserve"> y col.</w:t>
      </w:r>
      <w:r w:rsidR="004C62A1" w:rsidRPr="009A775F">
        <w:rPr>
          <w:rFonts w:ascii="Verdana" w:hAnsi="Verdana" w:cs="Arial"/>
          <w:sz w:val="20"/>
          <w:szCs w:val="20"/>
          <w:vertAlign w:val="superscript"/>
          <w:lang w:val="es-ES"/>
        </w:rPr>
        <w:t>5</w:t>
      </w:r>
      <w:r w:rsidRPr="009A775F">
        <w:rPr>
          <w:rFonts w:ascii="Verdana" w:hAnsi="Verdana" w:cs="Arial"/>
          <w:sz w:val="20"/>
          <w:szCs w:val="20"/>
          <w:vertAlign w:val="superscript"/>
          <w:lang w:val="es-ES"/>
        </w:rPr>
        <w:t xml:space="preserve">  </w:t>
      </w:r>
      <w:r w:rsidRPr="009A775F">
        <w:rPr>
          <w:rFonts w:ascii="Verdana" w:hAnsi="Verdana" w:cs="Arial"/>
          <w:sz w:val="20"/>
          <w:szCs w:val="20"/>
          <w:lang w:val="es-ES"/>
        </w:rPr>
        <w:t xml:space="preserve">señalan </w:t>
      </w:r>
      <w:r w:rsidR="00D5739C" w:rsidRPr="009A775F">
        <w:rPr>
          <w:rFonts w:ascii="Verdana" w:hAnsi="Verdana" w:cs="Arial"/>
          <w:sz w:val="20"/>
          <w:szCs w:val="20"/>
          <w:lang w:val="es-ES"/>
        </w:rPr>
        <w:t xml:space="preserve">en el trabajo revisado </w:t>
      </w:r>
      <w:r w:rsidRPr="009A775F">
        <w:rPr>
          <w:rFonts w:ascii="Verdana" w:hAnsi="Verdana" w:cs="Arial"/>
          <w:sz w:val="20"/>
          <w:szCs w:val="20"/>
          <w:lang w:val="es-ES"/>
        </w:rPr>
        <w:t>que en el año 2013 se transfundieron un total de 2149 pacientes</w:t>
      </w:r>
      <w:r w:rsidR="00DC7990" w:rsidRPr="009A775F">
        <w:rPr>
          <w:rFonts w:ascii="Verdana" w:hAnsi="Verdana" w:cs="Arial"/>
          <w:sz w:val="20"/>
          <w:szCs w:val="20"/>
          <w:lang w:val="es-ES"/>
        </w:rPr>
        <w:t>,</w:t>
      </w:r>
      <w:r w:rsidRPr="009A775F">
        <w:rPr>
          <w:rFonts w:ascii="Verdana" w:hAnsi="Verdana" w:cs="Arial"/>
          <w:sz w:val="20"/>
          <w:szCs w:val="20"/>
          <w:lang w:val="es-ES"/>
        </w:rPr>
        <w:t xml:space="preserve"> </w:t>
      </w:r>
      <w:r w:rsidR="00DC7990" w:rsidRPr="009A775F">
        <w:rPr>
          <w:rFonts w:ascii="Verdana" w:hAnsi="Verdana" w:cs="Arial"/>
          <w:sz w:val="20"/>
          <w:szCs w:val="20"/>
          <w:lang w:val="es-ES"/>
        </w:rPr>
        <w:t xml:space="preserve">dato este superior al </w:t>
      </w:r>
      <w:r w:rsidR="00D5739C" w:rsidRPr="009A775F">
        <w:rPr>
          <w:rFonts w:ascii="Verdana" w:hAnsi="Verdana" w:cs="Arial"/>
          <w:sz w:val="20"/>
          <w:szCs w:val="20"/>
          <w:lang w:val="es-ES"/>
        </w:rPr>
        <w:t xml:space="preserve">de </w:t>
      </w:r>
      <w:r w:rsidR="00FB6650" w:rsidRPr="009A775F">
        <w:rPr>
          <w:rFonts w:ascii="Verdana" w:hAnsi="Verdana" w:cs="Arial"/>
          <w:sz w:val="20"/>
          <w:szCs w:val="20"/>
          <w:lang w:val="es-ES"/>
        </w:rPr>
        <w:t>esta</w:t>
      </w:r>
      <w:r w:rsidR="00D5739C" w:rsidRPr="009A775F">
        <w:rPr>
          <w:rFonts w:ascii="Verdana" w:hAnsi="Verdana" w:cs="Arial"/>
          <w:sz w:val="20"/>
          <w:szCs w:val="20"/>
          <w:lang w:val="es-ES"/>
        </w:rPr>
        <w:t xml:space="preserve"> </w:t>
      </w:r>
      <w:r w:rsidR="00CD2410" w:rsidRPr="009A775F">
        <w:rPr>
          <w:rFonts w:ascii="Verdana" w:hAnsi="Verdana" w:cs="Arial"/>
          <w:sz w:val="20"/>
          <w:szCs w:val="20"/>
          <w:lang w:val="es-ES"/>
        </w:rPr>
        <w:t xml:space="preserve">investigación, </w:t>
      </w:r>
      <w:r w:rsidR="00DC7990" w:rsidRPr="009A775F">
        <w:rPr>
          <w:rFonts w:ascii="Verdana" w:hAnsi="Verdana" w:cs="Arial"/>
          <w:sz w:val="20"/>
          <w:szCs w:val="20"/>
          <w:lang w:val="es-ES"/>
        </w:rPr>
        <w:t xml:space="preserve">aunque la </w:t>
      </w:r>
      <w:r w:rsidR="00D5739C" w:rsidRPr="009A775F">
        <w:rPr>
          <w:rFonts w:ascii="Verdana" w:hAnsi="Verdana" w:cs="Arial"/>
          <w:sz w:val="20"/>
          <w:szCs w:val="20"/>
          <w:lang w:val="es-ES"/>
        </w:rPr>
        <w:t>misma</w:t>
      </w:r>
      <w:r w:rsidR="00DC7990" w:rsidRPr="009A775F">
        <w:rPr>
          <w:rFonts w:ascii="Verdana" w:hAnsi="Verdana" w:cs="Arial"/>
          <w:sz w:val="20"/>
          <w:szCs w:val="20"/>
          <w:lang w:val="es-ES"/>
        </w:rPr>
        <w:t xml:space="preserve"> no aporta datos sobre el total de ingresos para evaluar los porcientos. Otro estudio</w:t>
      </w:r>
      <w:r w:rsidR="00CD2410" w:rsidRPr="009A775F">
        <w:rPr>
          <w:rFonts w:ascii="Verdana" w:hAnsi="Verdana" w:cs="Arial"/>
          <w:sz w:val="20"/>
          <w:szCs w:val="20"/>
          <w:lang w:val="es-ES"/>
        </w:rPr>
        <w:t xml:space="preserve"> similar a este fue el realizado en el </w:t>
      </w:r>
      <w:r w:rsidR="00DC7990" w:rsidRPr="009A775F">
        <w:rPr>
          <w:rFonts w:ascii="Verdana" w:hAnsi="Verdana" w:cs="Arial"/>
          <w:sz w:val="20"/>
          <w:szCs w:val="20"/>
          <w:lang w:val="es-ES"/>
        </w:rPr>
        <w:t xml:space="preserve"> Instituto de Hematología e Inmunología</w:t>
      </w:r>
      <w:r w:rsidR="00237E3F" w:rsidRPr="009A775F">
        <w:rPr>
          <w:rFonts w:ascii="Verdana" w:hAnsi="Verdana" w:cs="Arial"/>
          <w:sz w:val="20"/>
          <w:szCs w:val="20"/>
          <w:lang w:val="es-ES"/>
        </w:rPr>
        <w:t xml:space="preserve"> </w:t>
      </w:r>
      <w:r w:rsidR="004C62A1" w:rsidRPr="009A775F">
        <w:rPr>
          <w:rFonts w:ascii="Verdana" w:hAnsi="Verdana" w:cs="Arial"/>
          <w:sz w:val="20"/>
          <w:szCs w:val="20"/>
          <w:vertAlign w:val="superscript"/>
          <w:lang w:val="es-ES"/>
        </w:rPr>
        <w:t>10</w:t>
      </w:r>
      <w:r w:rsidR="00F31AB7" w:rsidRPr="009A775F">
        <w:rPr>
          <w:rFonts w:ascii="Verdana" w:hAnsi="Verdana" w:cs="Arial"/>
          <w:sz w:val="20"/>
          <w:szCs w:val="20"/>
          <w:lang w:val="es-ES"/>
        </w:rPr>
        <w:t xml:space="preserve"> </w:t>
      </w:r>
      <w:r w:rsidR="00CD2410" w:rsidRPr="009A775F">
        <w:rPr>
          <w:rFonts w:ascii="Verdana" w:hAnsi="Verdana" w:cs="Arial"/>
          <w:sz w:val="20"/>
          <w:szCs w:val="20"/>
          <w:lang w:val="es-ES"/>
        </w:rPr>
        <w:t xml:space="preserve">en el cual el </w:t>
      </w:r>
      <w:r w:rsidR="00CD2410" w:rsidRPr="009A775F">
        <w:rPr>
          <w:rFonts w:ascii="Verdana" w:eastAsia="Times New Roman" w:hAnsi="Verdana" w:cs="Times New Roman"/>
          <w:sz w:val="20"/>
          <w:szCs w:val="20"/>
          <w:lang w:val="es-ES" w:eastAsia="es-PR"/>
        </w:rPr>
        <w:t xml:space="preserve">21% de pacientes hospitalizados fueron transfundidos, dato este discretamente superior al de este estudio, </w:t>
      </w:r>
      <w:r w:rsidR="00F31AB7" w:rsidRPr="009A775F">
        <w:rPr>
          <w:rFonts w:ascii="Verdana" w:eastAsia="Times New Roman" w:hAnsi="Verdana" w:cs="Times New Roman"/>
          <w:sz w:val="20"/>
          <w:szCs w:val="20"/>
          <w:lang w:val="es-ES" w:eastAsia="es-PR"/>
        </w:rPr>
        <w:t>lo que habla a favor de una política transfusional restrictiv</w:t>
      </w:r>
      <w:r w:rsidR="00D5739C" w:rsidRPr="009A775F">
        <w:rPr>
          <w:rFonts w:ascii="Verdana" w:eastAsia="Times New Roman" w:hAnsi="Verdana" w:cs="Times New Roman"/>
          <w:sz w:val="20"/>
          <w:szCs w:val="20"/>
          <w:lang w:val="es-ES" w:eastAsia="es-PR"/>
        </w:rPr>
        <w:t>a</w:t>
      </w:r>
      <w:r w:rsidR="00CD2410" w:rsidRPr="009A775F">
        <w:rPr>
          <w:rFonts w:ascii="Verdana" w:eastAsia="Times New Roman" w:hAnsi="Verdana" w:cs="Times New Roman"/>
          <w:sz w:val="20"/>
          <w:szCs w:val="20"/>
          <w:lang w:val="es-ES" w:eastAsia="es-PR"/>
        </w:rPr>
        <w:t>.</w:t>
      </w:r>
    </w:p>
    <w:p w:rsidR="00F84BEB" w:rsidRPr="009A775F" w:rsidRDefault="00F84BEB" w:rsidP="00777225">
      <w:pPr>
        <w:autoSpaceDE w:val="0"/>
        <w:autoSpaceDN w:val="0"/>
        <w:adjustRightInd w:val="0"/>
        <w:spacing w:after="0" w:line="240" w:lineRule="auto"/>
        <w:jc w:val="both"/>
        <w:rPr>
          <w:rFonts w:ascii="Verdana" w:eastAsia="Times New Roman" w:hAnsi="Verdana" w:cs="Times New Roman"/>
          <w:sz w:val="20"/>
          <w:szCs w:val="20"/>
          <w:lang w:val="es-ES" w:eastAsia="es-PR"/>
        </w:rPr>
      </w:pPr>
    </w:p>
    <w:p w:rsidR="00F84BEB" w:rsidRPr="009A775F" w:rsidRDefault="00F84BEB" w:rsidP="00777225">
      <w:pPr>
        <w:autoSpaceDE w:val="0"/>
        <w:autoSpaceDN w:val="0"/>
        <w:adjustRightInd w:val="0"/>
        <w:spacing w:after="0" w:line="240" w:lineRule="auto"/>
        <w:jc w:val="both"/>
        <w:rPr>
          <w:rFonts w:ascii="Verdana" w:eastAsia="Times New Roman" w:hAnsi="Verdana" w:cs="Times New Roman"/>
          <w:sz w:val="20"/>
          <w:szCs w:val="20"/>
          <w:lang w:val="es-ES" w:eastAsia="es-PR"/>
        </w:rPr>
      </w:pPr>
      <w:r w:rsidRPr="009A775F">
        <w:rPr>
          <w:rFonts w:ascii="Verdana" w:eastAsia="Times New Roman" w:hAnsi="Verdana" w:cs="Times New Roman"/>
          <w:sz w:val="20"/>
          <w:szCs w:val="20"/>
          <w:lang w:val="es-ES" w:eastAsia="es-PR"/>
        </w:rPr>
        <w:t>Con muy poca diferencia los hombres fueron m</w:t>
      </w:r>
      <w:r w:rsidR="00037E11" w:rsidRPr="009A775F">
        <w:rPr>
          <w:rFonts w:ascii="Verdana" w:eastAsia="Times New Roman" w:hAnsi="Verdana" w:cs="Times New Roman"/>
          <w:sz w:val="20"/>
          <w:szCs w:val="20"/>
          <w:lang w:val="es-ES" w:eastAsia="es-PR"/>
        </w:rPr>
        <w:t>ás transfundidos que las  féminas</w:t>
      </w:r>
      <w:r w:rsidRPr="009A775F">
        <w:rPr>
          <w:rFonts w:ascii="Verdana" w:eastAsia="Times New Roman" w:hAnsi="Verdana" w:cs="Times New Roman"/>
          <w:sz w:val="20"/>
          <w:szCs w:val="20"/>
          <w:lang w:val="es-ES" w:eastAsia="es-PR"/>
        </w:rPr>
        <w:t>, a</w:t>
      </w:r>
      <w:r w:rsidR="001052E0" w:rsidRPr="009A775F">
        <w:rPr>
          <w:rFonts w:ascii="Verdana" w:eastAsia="Times New Roman" w:hAnsi="Verdana" w:cs="Times New Roman"/>
          <w:sz w:val="20"/>
          <w:szCs w:val="20"/>
          <w:lang w:val="es-ES" w:eastAsia="es-PR"/>
        </w:rPr>
        <w:t>l igual que lo planteado por otros</w:t>
      </w:r>
      <w:r w:rsidRPr="009A775F">
        <w:rPr>
          <w:rFonts w:ascii="Verdana" w:eastAsia="Times New Roman" w:hAnsi="Verdana" w:cs="Times New Roman"/>
          <w:sz w:val="20"/>
          <w:szCs w:val="20"/>
          <w:lang w:val="es-ES" w:eastAsia="es-PR"/>
        </w:rPr>
        <w:t xml:space="preserve"> autores</w:t>
      </w:r>
      <w:r w:rsidR="00103630" w:rsidRPr="009A775F">
        <w:rPr>
          <w:rFonts w:ascii="Verdana" w:eastAsia="Times New Roman" w:hAnsi="Verdana" w:cs="Times New Roman"/>
          <w:sz w:val="20"/>
          <w:szCs w:val="20"/>
          <w:lang w:val="es-ES" w:eastAsia="es-PR"/>
        </w:rPr>
        <w:t>.</w:t>
      </w:r>
      <w:r w:rsidRPr="009A775F">
        <w:rPr>
          <w:rFonts w:ascii="Verdana" w:eastAsia="Times New Roman" w:hAnsi="Verdana" w:cs="Times New Roman"/>
          <w:sz w:val="20"/>
          <w:szCs w:val="20"/>
          <w:lang w:val="es-ES" w:eastAsia="es-PR"/>
        </w:rPr>
        <w:t xml:space="preserve"> </w:t>
      </w:r>
      <w:r w:rsidRPr="009A775F">
        <w:rPr>
          <w:rFonts w:ascii="Verdana" w:eastAsia="Times New Roman" w:hAnsi="Verdana" w:cs="Times New Roman"/>
          <w:sz w:val="20"/>
          <w:szCs w:val="20"/>
          <w:vertAlign w:val="superscript"/>
          <w:lang w:val="es-ES" w:eastAsia="es-PR"/>
        </w:rPr>
        <w:t>5,</w:t>
      </w:r>
      <w:r w:rsidR="00103630" w:rsidRPr="009A775F">
        <w:rPr>
          <w:rFonts w:ascii="Verdana" w:eastAsia="Times New Roman" w:hAnsi="Verdana" w:cs="Times New Roman"/>
          <w:sz w:val="20"/>
          <w:szCs w:val="20"/>
          <w:vertAlign w:val="superscript"/>
          <w:lang w:val="es-ES" w:eastAsia="es-PR"/>
        </w:rPr>
        <w:t>9</w:t>
      </w:r>
    </w:p>
    <w:p w:rsidR="00CD2410" w:rsidRPr="009A775F" w:rsidRDefault="00CD2410" w:rsidP="00777225">
      <w:pPr>
        <w:autoSpaceDE w:val="0"/>
        <w:autoSpaceDN w:val="0"/>
        <w:adjustRightInd w:val="0"/>
        <w:spacing w:after="0" w:line="240" w:lineRule="auto"/>
        <w:jc w:val="both"/>
        <w:rPr>
          <w:rFonts w:ascii="Verdana" w:eastAsia="Times New Roman" w:hAnsi="Verdana" w:cs="Times New Roman"/>
          <w:sz w:val="20"/>
          <w:szCs w:val="20"/>
          <w:lang w:val="es-ES" w:eastAsia="es-PR"/>
        </w:rPr>
      </w:pPr>
    </w:p>
    <w:p w:rsidR="00FB143E" w:rsidRPr="009A775F" w:rsidRDefault="00D8607B" w:rsidP="00777225">
      <w:pPr>
        <w:shd w:val="clear" w:color="auto" w:fill="FFFFFF"/>
        <w:spacing w:after="0" w:line="240" w:lineRule="auto"/>
        <w:jc w:val="both"/>
        <w:rPr>
          <w:rFonts w:ascii="Verdana" w:eastAsia="Times New Roman" w:hAnsi="Verdana" w:cs="Times New Roman"/>
          <w:sz w:val="20"/>
          <w:szCs w:val="20"/>
          <w:vertAlign w:val="superscript"/>
          <w:lang w:val="es-ES" w:eastAsia="es-PR"/>
        </w:rPr>
      </w:pPr>
      <w:r w:rsidRPr="009A775F">
        <w:rPr>
          <w:rFonts w:ascii="Verdana" w:eastAsia="Times New Roman" w:hAnsi="Verdana" w:cs="Times New Roman"/>
          <w:sz w:val="20"/>
          <w:szCs w:val="20"/>
          <w:lang w:val="es-ES" w:eastAsia="es-PR"/>
        </w:rPr>
        <w:t>La edad avanzada, las enfermedades asociadas y los niveles bajos de hemoglobina contribuyen al incremento del consumo de sangre.</w:t>
      </w:r>
      <w:r w:rsidR="00037E11" w:rsidRPr="009A775F">
        <w:rPr>
          <w:rFonts w:ascii="Verdana" w:eastAsia="Times New Roman" w:hAnsi="Verdana" w:cs="Times New Roman"/>
          <w:sz w:val="20"/>
          <w:szCs w:val="20"/>
          <w:vertAlign w:val="superscript"/>
          <w:lang w:val="es-ES" w:eastAsia="es-PR"/>
        </w:rPr>
        <w:t>11</w:t>
      </w:r>
      <w:r w:rsidRPr="009A775F">
        <w:rPr>
          <w:rFonts w:ascii="Verdana" w:eastAsia="Times New Roman" w:hAnsi="Verdana" w:cs="Times New Roman"/>
          <w:sz w:val="20"/>
          <w:szCs w:val="20"/>
          <w:lang w:val="es-ES" w:eastAsia="es-PR"/>
        </w:rPr>
        <w:t> Se plantea que la población mundial está envejeciendo a un ritmo acelerado y según estudios publicados en España, para el año 2050 el número de personas mayores de 60 años se triplicará.</w:t>
      </w:r>
      <w:r w:rsidR="00F3553C" w:rsidRPr="009A775F">
        <w:rPr>
          <w:rFonts w:ascii="Verdana" w:eastAsia="Times New Roman" w:hAnsi="Verdana" w:cs="Times New Roman"/>
          <w:sz w:val="20"/>
          <w:szCs w:val="20"/>
          <w:vertAlign w:val="superscript"/>
          <w:lang w:val="es-ES" w:eastAsia="es-PR"/>
        </w:rPr>
        <w:t>12</w:t>
      </w:r>
    </w:p>
    <w:p w:rsidR="0025515D" w:rsidRPr="009A775F" w:rsidRDefault="0025515D" w:rsidP="00777225">
      <w:pPr>
        <w:shd w:val="clear" w:color="auto" w:fill="FFFFFF"/>
        <w:spacing w:after="0" w:line="240" w:lineRule="auto"/>
        <w:jc w:val="both"/>
        <w:rPr>
          <w:rFonts w:ascii="Verdana" w:eastAsia="Times New Roman" w:hAnsi="Verdana" w:cs="Times New Roman"/>
          <w:sz w:val="20"/>
          <w:szCs w:val="20"/>
          <w:vertAlign w:val="superscript"/>
          <w:lang w:val="es-ES" w:eastAsia="es-PR"/>
        </w:rPr>
      </w:pPr>
    </w:p>
    <w:p w:rsidR="00EF4F31" w:rsidRPr="009A775F" w:rsidRDefault="00EF4F31" w:rsidP="00414465">
      <w:pPr>
        <w:shd w:val="clear" w:color="auto" w:fill="FFFFFF"/>
        <w:spacing w:after="0" w:line="240" w:lineRule="auto"/>
        <w:jc w:val="both"/>
        <w:rPr>
          <w:rFonts w:ascii="Verdana" w:eastAsia="Times New Roman" w:hAnsi="Verdana" w:cs="Times New Roman"/>
          <w:sz w:val="20"/>
          <w:szCs w:val="20"/>
          <w:lang w:val="es-ES" w:eastAsia="es-PR"/>
        </w:rPr>
      </w:pPr>
      <w:r w:rsidRPr="009A775F">
        <w:rPr>
          <w:rFonts w:ascii="Verdana" w:eastAsia="Times New Roman" w:hAnsi="Verdana" w:cs="Times New Roman"/>
          <w:sz w:val="20"/>
          <w:szCs w:val="20"/>
          <w:lang w:val="es-ES" w:eastAsia="es-PR"/>
        </w:rPr>
        <w:t>El presente estudio no estuvo exento de esta influencia ya que  se evi</w:t>
      </w:r>
      <w:r w:rsidR="00037E11" w:rsidRPr="009A775F">
        <w:rPr>
          <w:rFonts w:ascii="Verdana" w:eastAsia="Times New Roman" w:hAnsi="Verdana" w:cs="Times New Roman"/>
          <w:sz w:val="20"/>
          <w:szCs w:val="20"/>
          <w:lang w:val="es-ES" w:eastAsia="es-PR"/>
        </w:rPr>
        <w:t>denció</w:t>
      </w:r>
      <w:r w:rsidR="002B2E2E" w:rsidRPr="009A775F">
        <w:rPr>
          <w:rFonts w:ascii="Verdana" w:eastAsia="Times New Roman" w:hAnsi="Verdana" w:cs="Times New Roman"/>
          <w:sz w:val="20"/>
          <w:szCs w:val="20"/>
          <w:lang w:val="es-ES" w:eastAsia="es-PR"/>
        </w:rPr>
        <w:t xml:space="preserve"> un incremento del consumo</w:t>
      </w:r>
      <w:r w:rsidRPr="009A775F">
        <w:rPr>
          <w:rFonts w:ascii="Verdana" w:eastAsia="Times New Roman" w:hAnsi="Verdana" w:cs="Times New Roman"/>
          <w:sz w:val="20"/>
          <w:szCs w:val="20"/>
          <w:lang w:val="es-ES" w:eastAsia="es-PR"/>
        </w:rPr>
        <w:t xml:space="preserve"> de sangre en los adultos mayores (6</w:t>
      </w:r>
      <w:r w:rsidR="000E2897" w:rsidRPr="009A775F">
        <w:rPr>
          <w:rFonts w:ascii="Verdana" w:eastAsia="Times New Roman" w:hAnsi="Verdana" w:cs="Times New Roman"/>
          <w:sz w:val="20"/>
          <w:szCs w:val="20"/>
          <w:lang w:val="es-ES" w:eastAsia="es-PR"/>
        </w:rPr>
        <w:t>8</w:t>
      </w:r>
      <w:r w:rsidRPr="009A775F">
        <w:rPr>
          <w:rFonts w:ascii="Verdana" w:eastAsia="Times New Roman" w:hAnsi="Verdana" w:cs="Times New Roman"/>
          <w:sz w:val="20"/>
          <w:szCs w:val="20"/>
          <w:lang w:val="es-ES" w:eastAsia="es-PR"/>
        </w:rPr>
        <w:t>.</w:t>
      </w:r>
      <w:r w:rsidR="000E2897" w:rsidRPr="009A775F">
        <w:rPr>
          <w:rFonts w:ascii="Verdana" w:eastAsia="Times New Roman" w:hAnsi="Verdana" w:cs="Times New Roman"/>
          <w:sz w:val="20"/>
          <w:szCs w:val="20"/>
          <w:lang w:val="es-ES" w:eastAsia="es-PR"/>
        </w:rPr>
        <w:t>3</w:t>
      </w:r>
      <w:r w:rsidRPr="009A775F">
        <w:rPr>
          <w:rFonts w:ascii="Verdana" w:eastAsia="Times New Roman" w:hAnsi="Verdana" w:cs="Times New Roman"/>
          <w:sz w:val="20"/>
          <w:szCs w:val="20"/>
          <w:lang w:val="es-ES" w:eastAsia="es-PR"/>
        </w:rPr>
        <w:t>%)</w:t>
      </w:r>
      <w:r w:rsidR="00FB143E" w:rsidRPr="009A775F">
        <w:rPr>
          <w:rFonts w:ascii="Verdana" w:eastAsia="Times New Roman" w:hAnsi="Verdana" w:cs="Times New Roman"/>
          <w:sz w:val="20"/>
          <w:szCs w:val="20"/>
          <w:lang w:val="es-ES" w:eastAsia="es-PR"/>
        </w:rPr>
        <w:t>,</w:t>
      </w:r>
      <w:r w:rsidR="002B2E2E" w:rsidRPr="009A775F">
        <w:rPr>
          <w:rFonts w:ascii="Verdana" w:eastAsia="Times New Roman" w:hAnsi="Verdana" w:cs="Times New Roman"/>
          <w:sz w:val="20"/>
          <w:szCs w:val="20"/>
          <w:lang w:val="es-ES" w:eastAsia="es-PR"/>
        </w:rPr>
        <w:t xml:space="preserve"> </w:t>
      </w:r>
      <w:r w:rsidR="00FB143E" w:rsidRPr="009A775F">
        <w:rPr>
          <w:rFonts w:ascii="Verdana" w:eastAsia="Times New Roman" w:hAnsi="Verdana" w:cs="Times New Roman"/>
          <w:sz w:val="20"/>
          <w:szCs w:val="20"/>
          <w:lang w:val="es-ES" w:eastAsia="es-PR"/>
        </w:rPr>
        <w:t xml:space="preserve">de la misma manera que se </w:t>
      </w:r>
      <w:r w:rsidR="002B2E2E" w:rsidRPr="009A775F">
        <w:rPr>
          <w:rFonts w:ascii="Verdana" w:eastAsia="Times New Roman" w:hAnsi="Verdana" w:cs="Times New Roman"/>
          <w:sz w:val="20"/>
          <w:szCs w:val="20"/>
          <w:lang w:val="es-ES" w:eastAsia="es-PR"/>
        </w:rPr>
        <w:t>mostró</w:t>
      </w:r>
      <w:r w:rsidR="00FB143E" w:rsidRPr="009A775F">
        <w:rPr>
          <w:rFonts w:ascii="Verdana" w:eastAsia="Times New Roman" w:hAnsi="Verdana" w:cs="Times New Roman"/>
          <w:sz w:val="20"/>
          <w:szCs w:val="20"/>
          <w:lang w:val="es-ES" w:eastAsia="es-PR"/>
        </w:rPr>
        <w:t xml:space="preserve"> </w:t>
      </w:r>
      <w:r w:rsidRPr="009A775F">
        <w:rPr>
          <w:rFonts w:ascii="Verdana" w:eastAsia="Times New Roman" w:hAnsi="Verdana" w:cs="Times New Roman"/>
          <w:sz w:val="20"/>
          <w:szCs w:val="20"/>
          <w:lang w:val="es-ES" w:eastAsia="es-PR"/>
        </w:rPr>
        <w:t xml:space="preserve">en el Hospital Militar Central </w:t>
      </w:r>
      <w:proofErr w:type="spellStart"/>
      <w:r w:rsidRPr="009A775F">
        <w:rPr>
          <w:rFonts w:ascii="Verdana" w:eastAsia="Times New Roman" w:hAnsi="Verdana" w:cs="Times New Roman"/>
          <w:sz w:val="20"/>
          <w:szCs w:val="20"/>
          <w:lang w:val="es-ES" w:eastAsia="es-PR"/>
        </w:rPr>
        <w:t>Dr.Carlos</w:t>
      </w:r>
      <w:proofErr w:type="spellEnd"/>
      <w:r w:rsidRPr="009A775F">
        <w:rPr>
          <w:rFonts w:ascii="Verdana" w:eastAsia="Times New Roman" w:hAnsi="Verdana" w:cs="Times New Roman"/>
          <w:sz w:val="20"/>
          <w:szCs w:val="20"/>
          <w:lang w:val="es-ES" w:eastAsia="es-PR"/>
        </w:rPr>
        <w:t xml:space="preserve"> J </w:t>
      </w:r>
      <w:proofErr w:type="spellStart"/>
      <w:r w:rsidRPr="009A775F">
        <w:rPr>
          <w:rFonts w:ascii="Verdana" w:eastAsia="Times New Roman" w:hAnsi="Verdana" w:cs="Times New Roman"/>
          <w:sz w:val="20"/>
          <w:szCs w:val="20"/>
          <w:lang w:val="es-ES" w:eastAsia="es-PR"/>
        </w:rPr>
        <w:t>Finla</w:t>
      </w:r>
      <w:r w:rsidR="00037E11" w:rsidRPr="009A775F">
        <w:rPr>
          <w:rFonts w:ascii="Verdana" w:eastAsia="Times New Roman" w:hAnsi="Verdana" w:cs="Times New Roman"/>
          <w:sz w:val="20"/>
          <w:szCs w:val="20"/>
          <w:lang w:val="es-ES" w:eastAsia="es-PR"/>
        </w:rPr>
        <w:t>y</w:t>
      </w:r>
      <w:proofErr w:type="spellEnd"/>
      <w:r w:rsidR="00037E11" w:rsidRPr="009A775F">
        <w:rPr>
          <w:rFonts w:ascii="Verdana" w:eastAsia="Times New Roman" w:hAnsi="Verdana" w:cs="Times New Roman"/>
          <w:sz w:val="20"/>
          <w:szCs w:val="20"/>
          <w:lang w:val="es-ES" w:eastAsia="es-PR"/>
        </w:rPr>
        <w:t xml:space="preserve"> con una mediana de 65 años.</w:t>
      </w:r>
      <w:r w:rsidR="00037E11" w:rsidRPr="009A775F">
        <w:rPr>
          <w:rFonts w:ascii="Verdana" w:eastAsia="Times New Roman" w:hAnsi="Verdana" w:cs="Times New Roman"/>
          <w:sz w:val="20"/>
          <w:szCs w:val="20"/>
          <w:vertAlign w:val="superscript"/>
          <w:lang w:val="es-ES" w:eastAsia="es-PR"/>
        </w:rPr>
        <w:t>5</w:t>
      </w:r>
    </w:p>
    <w:p w:rsidR="00D8607B" w:rsidRPr="009A775F" w:rsidRDefault="00D8607B" w:rsidP="008678D7">
      <w:pPr>
        <w:shd w:val="clear" w:color="auto" w:fill="FFFFFF"/>
        <w:spacing w:after="0" w:line="240" w:lineRule="auto"/>
        <w:jc w:val="both"/>
        <w:rPr>
          <w:rFonts w:ascii="Verdana" w:eastAsia="Times New Roman" w:hAnsi="Verdana" w:cs="Times New Roman"/>
          <w:sz w:val="20"/>
          <w:szCs w:val="20"/>
          <w:lang w:val="es-ES" w:eastAsia="es-PR"/>
        </w:rPr>
      </w:pPr>
      <w:r w:rsidRPr="009A775F">
        <w:rPr>
          <w:rFonts w:ascii="Verdana" w:eastAsia="Times New Roman" w:hAnsi="Verdana" w:cs="Times New Roman"/>
          <w:sz w:val="20"/>
          <w:szCs w:val="20"/>
          <w:lang w:val="es-ES" w:eastAsia="es-PR"/>
        </w:rPr>
        <w:t>En Cuba, según los datos del último censo realizado, el 18,3 % de la población tiene más de 60 años.</w:t>
      </w:r>
      <w:r w:rsidR="00F3553C" w:rsidRPr="009A775F">
        <w:rPr>
          <w:rFonts w:ascii="Verdana" w:eastAsia="Times New Roman" w:hAnsi="Verdana" w:cs="Times New Roman"/>
          <w:sz w:val="20"/>
          <w:szCs w:val="20"/>
          <w:vertAlign w:val="superscript"/>
          <w:lang w:val="es-ES" w:eastAsia="es-PR"/>
        </w:rPr>
        <w:t>13</w:t>
      </w:r>
      <w:r w:rsidRPr="009A775F">
        <w:rPr>
          <w:rFonts w:ascii="Verdana" w:eastAsia="Times New Roman" w:hAnsi="Verdana" w:cs="Times New Roman"/>
          <w:sz w:val="20"/>
          <w:szCs w:val="20"/>
          <w:lang w:val="es-ES" w:eastAsia="es-PR"/>
        </w:rPr>
        <w:t> Esto no solo aumentará las demandas transfusionales sino que también contribuirá con la disminución del número de donantes</w:t>
      </w:r>
      <w:r w:rsidR="00EF4F31" w:rsidRPr="009A775F">
        <w:rPr>
          <w:rFonts w:ascii="Verdana" w:eastAsia="Times New Roman" w:hAnsi="Verdana" w:cs="Times New Roman"/>
          <w:sz w:val="20"/>
          <w:szCs w:val="20"/>
          <w:lang w:val="es-ES" w:eastAsia="es-PR"/>
        </w:rPr>
        <w:t>.</w:t>
      </w:r>
    </w:p>
    <w:p w:rsidR="0025515D" w:rsidRPr="009A775F" w:rsidRDefault="0025515D" w:rsidP="008678D7">
      <w:pPr>
        <w:shd w:val="clear" w:color="auto" w:fill="FFFFFF"/>
        <w:spacing w:after="0" w:line="240" w:lineRule="auto"/>
        <w:jc w:val="both"/>
        <w:rPr>
          <w:rFonts w:ascii="Verdana" w:eastAsia="Times New Roman" w:hAnsi="Verdana" w:cs="Times New Roman"/>
          <w:sz w:val="20"/>
          <w:szCs w:val="20"/>
          <w:lang w:val="es-ES" w:eastAsia="es-PR"/>
        </w:rPr>
      </w:pPr>
    </w:p>
    <w:p w:rsidR="00534422" w:rsidRPr="009A775F" w:rsidRDefault="00722FFE" w:rsidP="0050267B">
      <w:pPr>
        <w:spacing w:after="0" w:line="240" w:lineRule="auto"/>
        <w:jc w:val="both"/>
        <w:rPr>
          <w:rFonts w:ascii="Verdana" w:hAnsi="Verdana" w:cs="Arial"/>
          <w:sz w:val="20"/>
          <w:szCs w:val="20"/>
          <w:lang w:val="es-ES"/>
        </w:rPr>
      </w:pPr>
      <w:r w:rsidRPr="009A775F">
        <w:rPr>
          <w:rFonts w:ascii="Verdana" w:eastAsia="Times New Roman" w:hAnsi="Verdana" w:cs="Times New Roman"/>
          <w:sz w:val="20"/>
          <w:szCs w:val="20"/>
          <w:lang w:val="es-ES" w:eastAsia="es-PR"/>
        </w:rPr>
        <w:t xml:space="preserve">En el 2011, el consumo </w:t>
      </w:r>
      <w:r w:rsidR="00534422" w:rsidRPr="009A775F">
        <w:rPr>
          <w:rFonts w:ascii="Verdana" w:eastAsia="Times New Roman" w:hAnsi="Verdana" w:cs="Times New Roman"/>
          <w:sz w:val="20"/>
          <w:szCs w:val="20"/>
          <w:lang w:val="es-ES" w:eastAsia="es-PR"/>
        </w:rPr>
        <w:t xml:space="preserve">anual en </w:t>
      </w:r>
      <w:r w:rsidR="002D3050" w:rsidRPr="009A775F">
        <w:rPr>
          <w:rFonts w:ascii="Verdana" w:eastAsia="Times New Roman" w:hAnsi="Verdana" w:cs="Times New Roman"/>
          <w:sz w:val="20"/>
          <w:szCs w:val="20"/>
          <w:lang w:val="es-ES" w:eastAsia="es-PR"/>
        </w:rPr>
        <w:t>el</w:t>
      </w:r>
      <w:r w:rsidR="00534422" w:rsidRPr="009A775F">
        <w:rPr>
          <w:rFonts w:ascii="Verdana" w:eastAsia="Times New Roman" w:hAnsi="Verdana" w:cs="Times New Roman"/>
          <w:sz w:val="20"/>
          <w:szCs w:val="20"/>
          <w:lang w:val="es-ES" w:eastAsia="es-PR"/>
        </w:rPr>
        <w:t xml:space="preserve"> </w:t>
      </w:r>
      <w:r w:rsidR="002D3050" w:rsidRPr="009A775F">
        <w:rPr>
          <w:rFonts w:ascii="Verdana" w:eastAsia="Times New Roman" w:hAnsi="Verdana" w:cs="Times New Roman"/>
          <w:sz w:val="20"/>
          <w:szCs w:val="20"/>
          <w:lang w:val="es-ES" w:eastAsia="es-PR"/>
        </w:rPr>
        <w:t>país</w:t>
      </w:r>
      <w:r w:rsidR="00534422" w:rsidRPr="009A775F">
        <w:rPr>
          <w:rFonts w:ascii="Verdana" w:eastAsia="Times New Roman" w:hAnsi="Verdana" w:cs="Times New Roman"/>
          <w:sz w:val="20"/>
          <w:szCs w:val="20"/>
          <w:lang w:val="es-ES" w:eastAsia="es-PR"/>
        </w:rPr>
        <w:t xml:space="preserve"> </w:t>
      </w:r>
      <w:r w:rsidRPr="009A775F">
        <w:rPr>
          <w:rFonts w:ascii="Verdana" w:eastAsia="Times New Roman" w:hAnsi="Verdana" w:cs="Times New Roman"/>
          <w:sz w:val="20"/>
          <w:szCs w:val="20"/>
          <w:lang w:val="es-ES" w:eastAsia="es-PR"/>
        </w:rPr>
        <w:t xml:space="preserve"> fue de 346 425 unidades de hemocomponentes.</w:t>
      </w:r>
      <w:r w:rsidR="00F3553C" w:rsidRPr="009A775F">
        <w:rPr>
          <w:rFonts w:ascii="Verdana" w:eastAsia="Times New Roman" w:hAnsi="Verdana" w:cs="Times New Roman"/>
          <w:sz w:val="20"/>
          <w:szCs w:val="20"/>
          <w:vertAlign w:val="superscript"/>
          <w:lang w:val="es-ES" w:eastAsia="es-PR"/>
        </w:rPr>
        <w:t>14</w:t>
      </w:r>
      <w:r w:rsidRPr="009A775F">
        <w:rPr>
          <w:rFonts w:ascii="Verdana" w:eastAsia="Times New Roman" w:hAnsi="Verdana" w:cs="Times New Roman"/>
          <w:sz w:val="20"/>
          <w:szCs w:val="20"/>
          <w:lang w:val="es-ES" w:eastAsia="es-PR"/>
        </w:rPr>
        <w:t xml:space="preserve"> Los comités de medicina transfusional de los centros tienen entre sus tareas, el análisis del consumo, para de ahí orientar las acciones en función del empleo restrictivo y racional de los </w:t>
      </w:r>
      <w:r w:rsidR="00E52894" w:rsidRPr="009A775F">
        <w:rPr>
          <w:rFonts w:ascii="Verdana" w:eastAsia="Times New Roman" w:hAnsi="Verdana" w:cs="Times New Roman"/>
          <w:sz w:val="20"/>
          <w:szCs w:val="20"/>
          <w:lang w:val="es-ES" w:eastAsia="es-PR"/>
        </w:rPr>
        <w:t>componentes.</w:t>
      </w:r>
      <w:r w:rsidR="00E52894" w:rsidRPr="009A775F">
        <w:rPr>
          <w:rFonts w:ascii="Verdana" w:hAnsi="Verdana" w:cs="Arial"/>
          <w:sz w:val="20"/>
          <w:szCs w:val="20"/>
          <w:lang w:val="es-ES"/>
        </w:rPr>
        <w:t xml:space="preserve"> El 81.8% del </w:t>
      </w:r>
      <w:r w:rsidR="00F7356A" w:rsidRPr="009A775F">
        <w:rPr>
          <w:rFonts w:ascii="Verdana" w:hAnsi="Verdana" w:cs="Arial"/>
          <w:sz w:val="20"/>
          <w:szCs w:val="20"/>
          <w:lang w:val="es-ES"/>
        </w:rPr>
        <w:t xml:space="preserve"> total de las indicaciones en este trabajo </w:t>
      </w:r>
      <w:r w:rsidR="00E52894" w:rsidRPr="009A775F">
        <w:rPr>
          <w:rFonts w:ascii="Verdana" w:hAnsi="Verdana" w:cs="Arial"/>
          <w:sz w:val="20"/>
          <w:szCs w:val="20"/>
          <w:lang w:val="es-ES"/>
        </w:rPr>
        <w:t xml:space="preserve"> fueron de  CE </w:t>
      </w:r>
      <w:r w:rsidR="00205A9F" w:rsidRPr="009A775F">
        <w:rPr>
          <w:rFonts w:ascii="Verdana" w:hAnsi="Verdana" w:cs="Arial"/>
          <w:sz w:val="20"/>
          <w:szCs w:val="20"/>
          <w:lang w:val="es-ES"/>
        </w:rPr>
        <w:t xml:space="preserve">relacionado con una disminución de las cifras de hemoglobina y la  agudización de la anemia crónica </w:t>
      </w:r>
      <w:r w:rsidR="00E52894" w:rsidRPr="009A775F">
        <w:rPr>
          <w:rFonts w:ascii="Verdana" w:hAnsi="Verdana" w:cs="Arial"/>
          <w:sz w:val="20"/>
          <w:szCs w:val="20"/>
          <w:lang w:val="es-ES"/>
        </w:rPr>
        <w:t xml:space="preserve"> </w:t>
      </w:r>
      <w:r w:rsidR="00534422" w:rsidRPr="009A775F">
        <w:rPr>
          <w:rFonts w:ascii="Verdana" w:hAnsi="Verdana" w:cs="Arial"/>
          <w:sz w:val="20"/>
          <w:szCs w:val="20"/>
          <w:lang w:val="es-ES"/>
        </w:rPr>
        <w:t>lo cual obedece a algunas de las  principales causas de ingreso hospitalario</w:t>
      </w:r>
      <w:r w:rsidR="00205A9F" w:rsidRPr="009A775F">
        <w:rPr>
          <w:rFonts w:ascii="Verdana" w:eastAsia="Times New Roman" w:hAnsi="Verdana" w:cs="Times New Roman"/>
          <w:sz w:val="20"/>
          <w:szCs w:val="20"/>
          <w:lang w:val="es-ES" w:eastAsia="es-PR"/>
        </w:rPr>
        <w:t xml:space="preserve"> acompañando</w:t>
      </w:r>
      <w:r w:rsidR="00534422" w:rsidRPr="009A775F">
        <w:rPr>
          <w:rFonts w:ascii="Verdana" w:eastAsia="Times New Roman" w:hAnsi="Verdana" w:cs="Times New Roman"/>
          <w:sz w:val="20"/>
          <w:szCs w:val="20"/>
          <w:lang w:val="es-ES" w:eastAsia="es-PR"/>
        </w:rPr>
        <w:t xml:space="preserve"> las enfermedades </w:t>
      </w:r>
      <w:proofErr w:type="spellStart"/>
      <w:r w:rsidR="00534422" w:rsidRPr="009A775F">
        <w:rPr>
          <w:rFonts w:ascii="Verdana" w:eastAsia="Times New Roman" w:hAnsi="Verdana" w:cs="Times New Roman"/>
          <w:sz w:val="20"/>
          <w:szCs w:val="20"/>
          <w:lang w:val="es-ES" w:eastAsia="es-PR"/>
        </w:rPr>
        <w:t>oncohematológicos</w:t>
      </w:r>
      <w:proofErr w:type="spellEnd"/>
      <w:r w:rsidR="00534422" w:rsidRPr="009A775F">
        <w:rPr>
          <w:rFonts w:ascii="Verdana" w:eastAsia="Times New Roman" w:hAnsi="Verdana" w:cs="Times New Roman"/>
          <w:sz w:val="20"/>
          <w:szCs w:val="20"/>
          <w:lang w:val="es-ES" w:eastAsia="es-PR"/>
        </w:rPr>
        <w:t xml:space="preserve"> y</w:t>
      </w:r>
      <w:r w:rsidR="00205A9F" w:rsidRPr="009A775F">
        <w:rPr>
          <w:rFonts w:ascii="Verdana" w:eastAsia="Times New Roman" w:hAnsi="Verdana" w:cs="Times New Roman"/>
          <w:sz w:val="20"/>
          <w:szCs w:val="20"/>
          <w:lang w:val="es-ES" w:eastAsia="es-PR"/>
        </w:rPr>
        <w:t xml:space="preserve"> </w:t>
      </w:r>
      <w:r w:rsidR="00534422" w:rsidRPr="009A775F">
        <w:rPr>
          <w:rFonts w:ascii="Verdana" w:eastAsia="Times New Roman" w:hAnsi="Verdana" w:cs="Times New Roman"/>
          <w:sz w:val="20"/>
          <w:szCs w:val="20"/>
          <w:lang w:val="es-ES" w:eastAsia="es-PR"/>
        </w:rPr>
        <w:t xml:space="preserve"> gastrointestinales   </w:t>
      </w:r>
      <w:r w:rsidR="00E52894" w:rsidRPr="009A775F">
        <w:rPr>
          <w:rFonts w:ascii="Verdana" w:hAnsi="Verdana" w:cs="Arial"/>
          <w:sz w:val="20"/>
          <w:szCs w:val="20"/>
          <w:lang w:val="es-ES"/>
        </w:rPr>
        <w:t>coincidiendo</w:t>
      </w:r>
      <w:r w:rsidR="00F7356A" w:rsidRPr="009A775F">
        <w:rPr>
          <w:rFonts w:ascii="Verdana" w:hAnsi="Verdana" w:cs="Arial"/>
          <w:sz w:val="20"/>
          <w:szCs w:val="20"/>
          <w:lang w:val="es-ES"/>
        </w:rPr>
        <w:t xml:space="preserve"> estos   resultados </w:t>
      </w:r>
      <w:r w:rsidR="00E52894" w:rsidRPr="009A775F">
        <w:rPr>
          <w:rFonts w:ascii="Verdana" w:hAnsi="Verdana" w:cs="Arial"/>
          <w:sz w:val="20"/>
          <w:szCs w:val="20"/>
          <w:lang w:val="es-ES"/>
        </w:rPr>
        <w:t xml:space="preserve">  con </w:t>
      </w:r>
      <w:r w:rsidR="0083211E" w:rsidRPr="009A775F">
        <w:rPr>
          <w:rFonts w:ascii="Verdana" w:hAnsi="Verdana" w:cs="Arial"/>
          <w:sz w:val="20"/>
          <w:szCs w:val="20"/>
          <w:lang w:val="es-ES"/>
        </w:rPr>
        <w:t xml:space="preserve">lo expuesto por </w:t>
      </w:r>
      <w:proofErr w:type="spellStart"/>
      <w:r w:rsidR="0083211E" w:rsidRPr="009A775F">
        <w:rPr>
          <w:rFonts w:ascii="Verdana" w:hAnsi="Verdana" w:cs="Arial"/>
          <w:sz w:val="20"/>
          <w:szCs w:val="20"/>
          <w:lang w:val="es-ES"/>
        </w:rPr>
        <w:t>Mildrey</w:t>
      </w:r>
      <w:proofErr w:type="spellEnd"/>
      <w:r w:rsidR="0083211E" w:rsidRPr="009A775F">
        <w:rPr>
          <w:rFonts w:ascii="Verdana" w:hAnsi="Verdana" w:cs="Arial"/>
          <w:sz w:val="20"/>
          <w:szCs w:val="20"/>
          <w:lang w:val="es-ES"/>
        </w:rPr>
        <w:t xml:space="preserve"> y col</w:t>
      </w:r>
      <w:r w:rsidR="0083211E" w:rsidRPr="009A775F">
        <w:rPr>
          <w:rFonts w:ascii="Verdana" w:hAnsi="Verdana" w:cs="Arial"/>
          <w:sz w:val="20"/>
          <w:szCs w:val="20"/>
          <w:vertAlign w:val="superscript"/>
          <w:lang w:val="es-ES"/>
        </w:rPr>
        <w:t>5</w:t>
      </w:r>
      <w:r w:rsidR="00E52894" w:rsidRPr="009A775F">
        <w:rPr>
          <w:rFonts w:ascii="Verdana" w:hAnsi="Verdana" w:cs="Arial"/>
          <w:sz w:val="20"/>
          <w:szCs w:val="20"/>
          <w:lang w:val="es-ES"/>
        </w:rPr>
        <w:t xml:space="preserve"> donde el 77% correspon</w:t>
      </w:r>
      <w:r w:rsidR="00205A9F" w:rsidRPr="009A775F">
        <w:rPr>
          <w:rFonts w:ascii="Verdana" w:hAnsi="Verdana" w:cs="Arial"/>
          <w:sz w:val="20"/>
          <w:szCs w:val="20"/>
          <w:lang w:val="es-ES"/>
        </w:rPr>
        <w:t xml:space="preserve">de a la transfusión glóbulos por </w:t>
      </w:r>
      <w:r w:rsidR="009901E4" w:rsidRPr="009A775F">
        <w:rPr>
          <w:rFonts w:ascii="Verdana" w:hAnsi="Verdana" w:cs="Arial"/>
          <w:sz w:val="20"/>
          <w:szCs w:val="20"/>
          <w:lang w:val="es-ES"/>
        </w:rPr>
        <w:t xml:space="preserve">causas similares como los </w:t>
      </w:r>
      <w:r w:rsidR="00205A9F" w:rsidRPr="009A775F">
        <w:rPr>
          <w:rFonts w:ascii="Verdana" w:hAnsi="Verdana" w:cs="Arial"/>
          <w:sz w:val="20"/>
          <w:szCs w:val="20"/>
          <w:lang w:val="es-ES"/>
        </w:rPr>
        <w:t>sangramientos dige</w:t>
      </w:r>
      <w:r w:rsidR="0083211E" w:rsidRPr="009A775F">
        <w:rPr>
          <w:rFonts w:ascii="Verdana" w:hAnsi="Verdana" w:cs="Arial"/>
          <w:sz w:val="20"/>
          <w:szCs w:val="20"/>
          <w:lang w:val="es-ES"/>
        </w:rPr>
        <w:t xml:space="preserve">stivos y enfermedades </w:t>
      </w:r>
      <w:proofErr w:type="spellStart"/>
      <w:r w:rsidR="0083211E" w:rsidRPr="009A775F">
        <w:rPr>
          <w:rFonts w:ascii="Verdana" w:hAnsi="Verdana" w:cs="Arial"/>
          <w:sz w:val="20"/>
          <w:szCs w:val="20"/>
          <w:lang w:val="es-ES"/>
        </w:rPr>
        <w:t>oncohemató</w:t>
      </w:r>
      <w:r w:rsidR="00205A9F" w:rsidRPr="009A775F">
        <w:rPr>
          <w:rFonts w:ascii="Verdana" w:hAnsi="Verdana" w:cs="Arial"/>
          <w:sz w:val="20"/>
          <w:szCs w:val="20"/>
          <w:lang w:val="es-ES"/>
        </w:rPr>
        <w:t>logicas</w:t>
      </w:r>
      <w:proofErr w:type="spellEnd"/>
      <w:r w:rsidR="009901E4" w:rsidRPr="009A775F">
        <w:rPr>
          <w:rFonts w:ascii="Verdana" w:hAnsi="Verdana" w:cs="Arial"/>
          <w:sz w:val="20"/>
          <w:szCs w:val="20"/>
          <w:lang w:val="es-ES"/>
        </w:rPr>
        <w:t xml:space="preserve"> </w:t>
      </w:r>
      <w:r w:rsidR="00205A9F" w:rsidRPr="009A775F">
        <w:rPr>
          <w:rFonts w:ascii="Verdana" w:hAnsi="Verdana" w:cs="Arial"/>
          <w:sz w:val="20"/>
          <w:szCs w:val="20"/>
          <w:lang w:val="es-ES"/>
        </w:rPr>
        <w:t>.</w:t>
      </w:r>
    </w:p>
    <w:p w:rsidR="0083211E" w:rsidRPr="009A775F" w:rsidRDefault="0083211E" w:rsidP="0050267B">
      <w:pPr>
        <w:spacing w:after="0" w:line="240" w:lineRule="auto"/>
        <w:jc w:val="both"/>
        <w:rPr>
          <w:rFonts w:ascii="Verdana" w:hAnsi="Verdana" w:cs="Arial"/>
          <w:sz w:val="20"/>
          <w:szCs w:val="20"/>
          <w:lang w:val="es-ES"/>
        </w:rPr>
      </w:pPr>
    </w:p>
    <w:p w:rsidR="00205A9F" w:rsidRPr="009A775F" w:rsidRDefault="00F7356A" w:rsidP="00E543A7">
      <w:pPr>
        <w:shd w:val="clear" w:color="auto" w:fill="FFFFFF"/>
        <w:spacing w:after="0" w:line="240" w:lineRule="auto"/>
        <w:jc w:val="both"/>
        <w:rPr>
          <w:rFonts w:ascii="Verdana" w:eastAsia="Times New Roman" w:hAnsi="Verdana" w:cs="Times New Roman"/>
          <w:sz w:val="20"/>
          <w:szCs w:val="20"/>
          <w:lang w:val="es-ES" w:eastAsia="es-PR"/>
        </w:rPr>
      </w:pPr>
      <w:r w:rsidRPr="009A775F">
        <w:rPr>
          <w:rFonts w:ascii="Verdana" w:eastAsia="Times New Roman" w:hAnsi="Verdana" w:cs="Times New Roman"/>
          <w:sz w:val="20"/>
          <w:szCs w:val="20"/>
          <w:lang w:val="es-ES" w:eastAsia="es-PR"/>
        </w:rPr>
        <w:t xml:space="preserve">Destacan </w:t>
      </w:r>
      <w:r w:rsidR="00AD53C6" w:rsidRPr="009A775F">
        <w:rPr>
          <w:rFonts w:ascii="Verdana" w:eastAsia="Times New Roman" w:hAnsi="Verdana" w:cs="Times New Roman"/>
          <w:sz w:val="20"/>
          <w:szCs w:val="20"/>
          <w:lang w:val="es-ES" w:eastAsia="es-PR"/>
        </w:rPr>
        <w:t>también</w:t>
      </w:r>
      <w:r w:rsidRPr="009A775F">
        <w:rPr>
          <w:rFonts w:ascii="Verdana" w:eastAsia="Times New Roman" w:hAnsi="Verdana" w:cs="Times New Roman"/>
          <w:sz w:val="20"/>
          <w:szCs w:val="20"/>
          <w:lang w:val="es-ES" w:eastAsia="es-PR"/>
        </w:rPr>
        <w:t xml:space="preserve"> en otros  estudios</w:t>
      </w:r>
      <w:r w:rsidR="00EF66AD" w:rsidRPr="009A775F">
        <w:rPr>
          <w:rFonts w:ascii="Verdana" w:eastAsia="Times New Roman" w:hAnsi="Verdana" w:cs="Times New Roman"/>
          <w:sz w:val="20"/>
          <w:szCs w:val="20"/>
          <w:vertAlign w:val="superscript"/>
          <w:lang w:val="es-ES" w:eastAsia="es-PR"/>
        </w:rPr>
        <w:t>9, 10</w:t>
      </w:r>
      <w:r w:rsidRPr="009A775F">
        <w:rPr>
          <w:rFonts w:ascii="Verdana" w:eastAsia="Times New Roman" w:hAnsi="Verdana" w:cs="Times New Roman"/>
          <w:sz w:val="20"/>
          <w:szCs w:val="20"/>
          <w:lang w:val="es-ES" w:eastAsia="es-PR"/>
        </w:rPr>
        <w:t xml:space="preserve"> que</w:t>
      </w:r>
      <w:r w:rsidR="0083211E" w:rsidRPr="009A775F">
        <w:rPr>
          <w:rFonts w:ascii="Verdana" w:eastAsia="Times New Roman" w:hAnsi="Verdana" w:cs="Times New Roman"/>
          <w:sz w:val="20"/>
          <w:szCs w:val="20"/>
          <w:lang w:val="es-ES" w:eastAsia="es-PR"/>
        </w:rPr>
        <w:t xml:space="preserve"> </w:t>
      </w:r>
      <w:r w:rsidRPr="009A775F">
        <w:rPr>
          <w:rFonts w:ascii="Verdana" w:eastAsia="Times New Roman" w:hAnsi="Verdana" w:cs="Times New Roman"/>
          <w:sz w:val="20"/>
          <w:szCs w:val="20"/>
          <w:lang w:val="es-ES" w:eastAsia="es-PR"/>
        </w:rPr>
        <w:t xml:space="preserve"> el mayor consumo correspondió al </w:t>
      </w:r>
      <w:r w:rsidR="00A66BCB" w:rsidRPr="009A775F">
        <w:rPr>
          <w:rFonts w:ascii="Verdana" w:eastAsia="Times New Roman" w:hAnsi="Verdana" w:cs="Times New Roman"/>
          <w:sz w:val="20"/>
          <w:szCs w:val="20"/>
          <w:lang w:val="es-ES" w:eastAsia="es-PR"/>
        </w:rPr>
        <w:t>CE</w:t>
      </w:r>
      <w:r w:rsidRPr="009A775F">
        <w:rPr>
          <w:rFonts w:ascii="Verdana" w:eastAsia="Times New Roman" w:hAnsi="Verdana" w:cs="Times New Roman"/>
          <w:sz w:val="20"/>
          <w:szCs w:val="20"/>
          <w:lang w:val="es-ES" w:eastAsia="es-PR"/>
        </w:rPr>
        <w:t xml:space="preserve">, seguido de los </w:t>
      </w:r>
      <w:r w:rsidR="00A66BCB" w:rsidRPr="009A775F">
        <w:rPr>
          <w:rFonts w:ascii="Verdana" w:eastAsia="Times New Roman" w:hAnsi="Verdana" w:cs="Times New Roman"/>
          <w:sz w:val="20"/>
          <w:szCs w:val="20"/>
          <w:lang w:val="es-ES" w:eastAsia="es-PR"/>
        </w:rPr>
        <w:t>CP</w:t>
      </w:r>
      <w:r w:rsidRPr="009A775F">
        <w:rPr>
          <w:rFonts w:ascii="Verdana" w:eastAsia="Times New Roman" w:hAnsi="Verdana" w:cs="Times New Roman"/>
          <w:sz w:val="20"/>
          <w:szCs w:val="20"/>
          <w:lang w:val="es-ES" w:eastAsia="es-PR"/>
        </w:rPr>
        <w:t xml:space="preserve">, el </w:t>
      </w:r>
      <w:r w:rsidR="00A66BCB" w:rsidRPr="009A775F">
        <w:rPr>
          <w:rFonts w:ascii="Verdana" w:eastAsia="Times New Roman" w:hAnsi="Verdana" w:cs="Times New Roman"/>
          <w:sz w:val="20"/>
          <w:szCs w:val="20"/>
          <w:lang w:val="es-ES" w:eastAsia="es-PR"/>
        </w:rPr>
        <w:t>PFC</w:t>
      </w:r>
      <w:r w:rsidR="0083211E" w:rsidRPr="009A775F">
        <w:rPr>
          <w:rFonts w:ascii="Verdana" w:eastAsia="Times New Roman" w:hAnsi="Verdana" w:cs="Times New Roman"/>
          <w:sz w:val="20"/>
          <w:szCs w:val="20"/>
          <w:lang w:val="es-ES" w:eastAsia="es-PR"/>
        </w:rPr>
        <w:t xml:space="preserve"> y el </w:t>
      </w:r>
      <w:proofErr w:type="spellStart"/>
      <w:r w:rsidR="0083211E" w:rsidRPr="009A775F">
        <w:rPr>
          <w:rFonts w:ascii="Verdana" w:eastAsia="Times New Roman" w:hAnsi="Verdana" w:cs="Times New Roman"/>
          <w:sz w:val="20"/>
          <w:szCs w:val="20"/>
          <w:lang w:val="es-ES" w:eastAsia="es-PR"/>
        </w:rPr>
        <w:t>crioprecipitado</w:t>
      </w:r>
      <w:proofErr w:type="spellEnd"/>
      <w:r w:rsidR="0083211E" w:rsidRPr="009A775F">
        <w:rPr>
          <w:rFonts w:ascii="Verdana" w:eastAsia="Times New Roman" w:hAnsi="Verdana" w:cs="Times New Roman"/>
          <w:sz w:val="20"/>
          <w:szCs w:val="20"/>
          <w:lang w:val="es-ES" w:eastAsia="es-PR"/>
        </w:rPr>
        <w:t>.</w:t>
      </w:r>
      <w:r w:rsidR="00A66BCB" w:rsidRPr="009A775F">
        <w:rPr>
          <w:rFonts w:ascii="Verdana" w:eastAsia="Times New Roman" w:hAnsi="Verdana" w:cs="Times New Roman"/>
          <w:sz w:val="20"/>
          <w:szCs w:val="20"/>
          <w:lang w:val="es-ES" w:eastAsia="es-PR"/>
        </w:rPr>
        <w:t xml:space="preserve"> A</w:t>
      </w:r>
      <w:r w:rsidR="00534422" w:rsidRPr="009A775F">
        <w:rPr>
          <w:rFonts w:ascii="Verdana" w:eastAsia="Times New Roman" w:hAnsi="Verdana" w:cs="Times New Roman"/>
          <w:sz w:val="20"/>
          <w:szCs w:val="20"/>
          <w:lang w:val="es-ES" w:eastAsia="es-PR"/>
        </w:rPr>
        <w:t xml:space="preserve"> pesar de que en esta </w:t>
      </w:r>
      <w:r w:rsidR="00AD53C6" w:rsidRPr="009A775F">
        <w:rPr>
          <w:rFonts w:ascii="Verdana" w:eastAsia="Times New Roman" w:hAnsi="Verdana" w:cs="Times New Roman"/>
          <w:sz w:val="20"/>
          <w:szCs w:val="20"/>
          <w:lang w:val="es-ES" w:eastAsia="es-PR"/>
        </w:rPr>
        <w:t>investigación</w:t>
      </w:r>
      <w:r w:rsidR="00534422" w:rsidRPr="009A775F">
        <w:rPr>
          <w:rFonts w:ascii="Verdana" w:eastAsia="Times New Roman" w:hAnsi="Verdana" w:cs="Times New Roman"/>
          <w:sz w:val="20"/>
          <w:szCs w:val="20"/>
          <w:lang w:val="es-ES" w:eastAsia="es-PR"/>
        </w:rPr>
        <w:t xml:space="preserve"> el PFC y el CP fueron </w:t>
      </w:r>
      <w:r w:rsidR="0083211E" w:rsidRPr="009A775F">
        <w:rPr>
          <w:rFonts w:ascii="Verdana" w:eastAsia="Times New Roman" w:hAnsi="Verdana" w:cs="Times New Roman"/>
          <w:sz w:val="20"/>
          <w:szCs w:val="20"/>
          <w:lang w:val="es-ES" w:eastAsia="es-PR"/>
        </w:rPr>
        <w:t>más</w:t>
      </w:r>
      <w:r w:rsidR="00534422" w:rsidRPr="009A775F">
        <w:rPr>
          <w:rFonts w:ascii="Verdana" w:eastAsia="Times New Roman" w:hAnsi="Verdana" w:cs="Times New Roman"/>
          <w:sz w:val="20"/>
          <w:szCs w:val="20"/>
          <w:lang w:val="es-ES" w:eastAsia="es-PR"/>
        </w:rPr>
        <w:t xml:space="preserve"> consumido</w:t>
      </w:r>
      <w:r w:rsidR="0083211E" w:rsidRPr="009A775F">
        <w:rPr>
          <w:rFonts w:ascii="Verdana" w:eastAsia="Times New Roman" w:hAnsi="Verdana" w:cs="Times New Roman"/>
          <w:sz w:val="20"/>
          <w:szCs w:val="20"/>
          <w:lang w:val="es-ES" w:eastAsia="es-PR"/>
        </w:rPr>
        <w:t>s</w:t>
      </w:r>
      <w:r w:rsidR="00534422" w:rsidRPr="009A775F">
        <w:rPr>
          <w:rFonts w:ascii="Verdana" w:eastAsia="Times New Roman" w:hAnsi="Verdana" w:cs="Times New Roman"/>
          <w:sz w:val="20"/>
          <w:szCs w:val="20"/>
          <w:lang w:val="es-ES" w:eastAsia="es-PR"/>
        </w:rPr>
        <w:t xml:space="preserve"> en el año 2014</w:t>
      </w:r>
      <w:r w:rsidR="00EF66AD" w:rsidRPr="009A775F">
        <w:rPr>
          <w:rFonts w:ascii="Verdana" w:eastAsia="Times New Roman" w:hAnsi="Verdana" w:cs="Times New Roman"/>
          <w:sz w:val="20"/>
          <w:szCs w:val="20"/>
          <w:lang w:val="es-ES" w:eastAsia="es-PR"/>
        </w:rPr>
        <w:t>,</w:t>
      </w:r>
      <w:r w:rsidR="00534422" w:rsidRPr="009A775F">
        <w:rPr>
          <w:rFonts w:ascii="Verdana" w:eastAsia="Times New Roman" w:hAnsi="Verdana" w:cs="Times New Roman"/>
          <w:sz w:val="20"/>
          <w:szCs w:val="20"/>
          <w:lang w:val="es-ES" w:eastAsia="es-PR"/>
        </w:rPr>
        <w:t xml:space="preserve"> </w:t>
      </w:r>
      <w:r w:rsidR="00A66BCB" w:rsidRPr="009A775F">
        <w:rPr>
          <w:rFonts w:ascii="Verdana" w:eastAsia="Times New Roman" w:hAnsi="Verdana" w:cs="Times New Roman"/>
          <w:sz w:val="20"/>
          <w:szCs w:val="20"/>
          <w:lang w:val="es-ES" w:eastAsia="es-PR"/>
        </w:rPr>
        <w:t>su decrecimiento en el 2015</w:t>
      </w:r>
      <w:r w:rsidR="00FE2A1F" w:rsidRPr="009A775F">
        <w:rPr>
          <w:rFonts w:ascii="Verdana" w:eastAsia="Times New Roman" w:hAnsi="Verdana" w:cs="Times New Roman"/>
          <w:sz w:val="20"/>
          <w:szCs w:val="20"/>
          <w:lang w:val="es-ES" w:eastAsia="es-PR"/>
        </w:rPr>
        <w:t xml:space="preserve"> </w:t>
      </w:r>
      <w:r w:rsidR="00A66BCB" w:rsidRPr="009A775F">
        <w:rPr>
          <w:rFonts w:ascii="Verdana" w:eastAsia="Times New Roman" w:hAnsi="Verdana" w:cs="Times New Roman"/>
          <w:sz w:val="20"/>
          <w:szCs w:val="20"/>
          <w:lang w:val="es-ES" w:eastAsia="es-PR"/>
        </w:rPr>
        <w:t xml:space="preserve">se corresponde </w:t>
      </w:r>
      <w:r w:rsidR="00EF66AD" w:rsidRPr="009A775F">
        <w:rPr>
          <w:rFonts w:ascii="Verdana" w:eastAsia="Times New Roman" w:hAnsi="Verdana" w:cs="Times New Roman"/>
          <w:sz w:val="20"/>
          <w:szCs w:val="20"/>
          <w:lang w:val="es-ES" w:eastAsia="es-PR"/>
        </w:rPr>
        <w:t>a</w:t>
      </w:r>
      <w:r w:rsidR="00A66BCB" w:rsidRPr="009A775F">
        <w:rPr>
          <w:rFonts w:ascii="Verdana" w:eastAsia="Times New Roman" w:hAnsi="Verdana" w:cs="Times New Roman"/>
          <w:sz w:val="20"/>
          <w:szCs w:val="20"/>
          <w:lang w:val="es-ES" w:eastAsia="es-PR"/>
        </w:rPr>
        <w:t xml:space="preserve"> su</w:t>
      </w:r>
      <w:r w:rsidR="00534422" w:rsidRPr="009A775F">
        <w:rPr>
          <w:rFonts w:ascii="Verdana" w:eastAsia="Times New Roman" w:hAnsi="Verdana" w:cs="Times New Roman"/>
          <w:sz w:val="20"/>
          <w:szCs w:val="20"/>
          <w:lang w:val="es-ES" w:eastAsia="es-PR"/>
        </w:rPr>
        <w:t xml:space="preserve"> </w:t>
      </w:r>
      <w:r w:rsidR="00205A9F" w:rsidRPr="009A775F">
        <w:rPr>
          <w:rFonts w:ascii="Verdana" w:eastAsia="Times New Roman" w:hAnsi="Verdana" w:cs="Times New Roman"/>
          <w:sz w:val="20"/>
          <w:szCs w:val="20"/>
          <w:lang w:val="es-ES" w:eastAsia="es-PR"/>
        </w:rPr>
        <w:t xml:space="preserve"> </w:t>
      </w:r>
      <w:r w:rsidR="00A66BCB" w:rsidRPr="009A775F">
        <w:rPr>
          <w:rFonts w:ascii="Verdana" w:eastAsia="Times New Roman" w:hAnsi="Verdana" w:cs="Times New Roman"/>
          <w:sz w:val="20"/>
          <w:szCs w:val="20"/>
          <w:lang w:val="es-ES" w:eastAsia="es-PR"/>
        </w:rPr>
        <w:t>correcta indicación</w:t>
      </w:r>
      <w:r w:rsidR="00EF66AD" w:rsidRPr="009A775F">
        <w:rPr>
          <w:rFonts w:ascii="Verdana" w:eastAsia="Times New Roman" w:hAnsi="Verdana" w:cs="Times New Roman"/>
          <w:sz w:val="20"/>
          <w:szCs w:val="20"/>
          <w:lang w:val="es-ES" w:eastAsia="es-PR"/>
        </w:rPr>
        <w:t>,</w:t>
      </w:r>
      <w:r w:rsidR="00534422" w:rsidRPr="009A775F">
        <w:rPr>
          <w:rFonts w:ascii="Verdana" w:eastAsia="Times New Roman" w:hAnsi="Verdana" w:cs="Times New Roman"/>
          <w:sz w:val="20"/>
          <w:szCs w:val="20"/>
          <w:lang w:val="es-ES" w:eastAsia="es-PR"/>
        </w:rPr>
        <w:t xml:space="preserve"> </w:t>
      </w:r>
      <w:r w:rsidR="00A66BCB" w:rsidRPr="009A775F">
        <w:rPr>
          <w:rFonts w:ascii="Verdana" w:eastAsia="Times New Roman" w:hAnsi="Verdana" w:cs="Times New Roman"/>
          <w:sz w:val="20"/>
          <w:szCs w:val="20"/>
          <w:lang w:val="es-ES" w:eastAsia="es-PR"/>
        </w:rPr>
        <w:t>particularmente en</w:t>
      </w:r>
      <w:r w:rsidR="00655424" w:rsidRPr="009A775F">
        <w:rPr>
          <w:rFonts w:ascii="Verdana" w:eastAsia="Times New Roman" w:hAnsi="Verdana" w:cs="Times New Roman"/>
          <w:sz w:val="20"/>
          <w:szCs w:val="20"/>
          <w:lang w:val="es-ES" w:eastAsia="es-PR"/>
        </w:rPr>
        <w:t xml:space="preserve"> corregir los factores de la </w:t>
      </w:r>
      <w:r w:rsidR="00AD53C6" w:rsidRPr="009A775F">
        <w:rPr>
          <w:rFonts w:ascii="Verdana" w:eastAsia="Times New Roman" w:hAnsi="Verdana" w:cs="Times New Roman"/>
          <w:sz w:val="20"/>
          <w:szCs w:val="20"/>
          <w:lang w:val="es-ES" w:eastAsia="es-PR"/>
        </w:rPr>
        <w:t>coagulación</w:t>
      </w:r>
      <w:r w:rsidR="00655424" w:rsidRPr="009A775F">
        <w:rPr>
          <w:rFonts w:ascii="Verdana" w:eastAsia="Times New Roman" w:hAnsi="Verdana" w:cs="Times New Roman"/>
          <w:sz w:val="20"/>
          <w:szCs w:val="20"/>
          <w:lang w:val="es-ES" w:eastAsia="es-PR"/>
        </w:rPr>
        <w:t xml:space="preserve"> </w:t>
      </w:r>
      <w:r w:rsidR="00EF66AD" w:rsidRPr="009A775F">
        <w:rPr>
          <w:rFonts w:ascii="Verdana" w:eastAsia="Times New Roman" w:hAnsi="Verdana" w:cs="Times New Roman"/>
          <w:sz w:val="20"/>
          <w:szCs w:val="20"/>
          <w:lang w:val="es-ES" w:eastAsia="es-PR"/>
        </w:rPr>
        <w:t>y</w:t>
      </w:r>
      <w:r w:rsidR="00655424" w:rsidRPr="009A775F">
        <w:rPr>
          <w:rFonts w:ascii="Verdana" w:eastAsia="Times New Roman" w:hAnsi="Verdana" w:cs="Times New Roman"/>
          <w:sz w:val="20"/>
          <w:szCs w:val="20"/>
          <w:lang w:val="es-ES" w:eastAsia="es-PR"/>
        </w:rPr>
        <w:t xml:space="preserve"> en los pacientes con </w:t>
      </w:r>
      <w:r w:rsidR="00AD53C6" w:rsidRPr="009A775F">
        <w:rPr>
          <w:rFonts w:ascii="Verdana" w:eastAsia="Times New Roman" w:hAnsi="Verdana" w:cs="Times New Roman"/>
          <w:sz w:val="20"/>
          <w:szCs w:val="20"/>
          <w:lang w:val="es-ES" w:eastAsia="es-PR"/>
        </w:rPr>
        <w:t>cirugías</w:t>
      </w:r>
      <w:r w:rsidR="00EF66AD" w:rsidRPr="009A775F">
        <w:rPr>
          <w:rFonts w:ascii="Verdana" w:eastAsia="Times New Roman" w:hAnsi="Verdana" w:cs="Times New Roman"/>
          <w:sz w:val="20"/>
          <w:szCs w:val="20"/>
          <w:lang w:val="es-ES" w:eastAsia="es-PR"/>
        </w:rPr>
        <w:t xml:space="preserve"> electivas y </w:t>
      </w:r>
      <w:proofErr w:type="spellStart"/>
      <w:r w:rsidR="00EF66AD" w:rsidRPr="009A775F">
        <w:rPr>
          <w:rFonts w:ascii="Verdana" w:eastAsia="Times New Roman" w:hAnsi="Verdana" w:cs="Times New Roman"/>
          <w:sz w:val="20"/>
          <w:szCs w:val="20"/>
          <w:lang w:val="es-ES" w:eastAsia="es-PR"/>
        </w:rPr>
        <w:t>trombopatí</w:t>
      </w:r>
      <w:r w:rsidR="00655424" w:rsidRPr="009A775F">
        <w:rPr>
          <w:rFonts w:ascii="Verdana" w:eastAsia="Times New Roman" w:hAnsi="Verdana" w:cs="Times New Roman"/>
          <w:sz w:val="20"/>
          <w:szCs w:val="20"/>
          <w:lang w:val="es-ES" w:eastAsia="es-PR"/>
        </w:rPr>
        <w:t>as</w:t>
      </w:r>
      <w:proofErr w:type="spellEnd"/>
      <w:r w:rsidR="00655424" w:rsidRPr="009A775F">
        <w:rPr>
          <w:rFonts w:ascii="Verdana" w:eastAsia="Times New Roman" w:hAnsi="Verdana" w:cs="Times New Roman"/>
          <w:sz w:val="20"/>
          <w:szCs w:val="20"/>
          <w:lang w:val="es-ES" w:eastAsia="es-PR"/>
        </w:rPr>
        <w:t xml:space="preserve"> asociadas </w:t>
      </w:r>
      <w:r w:rsidR="00EF66AD" w:rsidRPr="009A775F">
        <w:rPr>
          <w:rFonts w:ascii="Verdana" w:eastAsia="Times New Roman" w:hAnsi="Verdana" w:cs="Times New Roman"/>
          <w:sz w:val="20"/>
          <w:szCs w:val="20"/>
          <w:lang w:val="es-ES" w:eastAsia="es-PR"/>
        </w:rPr>
        <w:t>respectivamente</w:t>
      </w:r>
      <w:r w:rsidR="00655424" w:rsidRPr="009A775F">
        <w:rPr>
          <w:rFonts w:ascii="Verdana" w:eastAsia="Times New Roman" w:hAnsi="Verdana" w:cs="Times New Roman"/>
          <w:sz w:val="20"/>
          <w:szCs w:val="20"/>
          <w:lang w:val="es-ES" w:eastAsia="es-PR"/>
        </w:rPr>
        <w:t xml:space="preserve">. </w:t>
      </w:r>
      <w:r w:rsidR="00DD2335" w:rsidRPr="009A775F">
        <w:rPr>
          <w:rFonts w:ascii="Verdana" w:eastAsia="Times New Roman" w:hAnsi="Verdana" w:cs="Times New Roman"/>
          <w:sz w:val="20"/>
          <w:szCs w:val="20"/>
          <w:lang w:val="es-ES" w:eastAsia="es-PR"/>
        </w:rPr>
        <w:t xml:space="preserve">Ha sido  la </w:t>
      </w:r>
      <w:r w:rsidR="00FE2A1F" w:rsidRPr="009A775F">
        <w:rPr>
          <w:rFonts w:ascii="Verdana" w:eastAsia="Times New Roman" w:hAnsi="Verdana" w:cs="Times New Roman"/>
          <w:sz w:val="20"/>
          <w:szCs w:val="20"/>
          <w:lang w:val="es-ES" w:eastAsia="es-PR"/>
        </w:rPr>
        <w:t>implementación de actividades educativas realizadas al personal mé</w:t>
      </w:r>
      <w:r w:rsidR="00DD2335" w:rsidRPr="009A775F">
        <w:rPr>
          <w:rFonts w:ascii="Verdana" w:eastAsia="Times New Roman" w:hAnsi="Verdana" w:cs="Times New Roman"/>
          <w:sz w:val="20"/>
          <w:szCs w:val="20"/>
          <w:lang w:val="es-ES" w:eastAsia="es-PR"/>
        </w:rPr>
        <w:t>dico en este sentido fundamental para mejorar dichas indicaciones.</w:t>
      </w:r>
    </w:p>
    <w:p w:rsidR="00B01DC7" w:rsidRPr="009A775F" w:rsidRDefault="00B01DC7" w:rsidP="00E543A7">
      <w:pPr>
        <w:spacing w:after="0" w:line="240" w:lineRule="auto"/>
        <w:jc w:val="both"/>
        <w:rPr>
          <w:rFonts w:ascii="Verdana" w:eastAsia="Times New Roman" w:hAnsi="Verdana" w:cs="Times New Roman"/>
          <w:sz w:val="20"/>
          <w:szCs w:val="20"/>
          <w:lang w:val="es-ES" w:eastAsia="es-PR"/>
        </w:rPr>
      </w:pPr>
    </w:p>
    <w:p w:rsidR="003D239D" w:rsidRPr="009A775F" w:rsidRDefault="00205A9F" w:rsidP="0055600E">
      <w:pPr>
        <w:spacing w:after="0" w:line="240" w:lineRule="auto"/>
        <w:jc w:val="both"/>
        <w:rPr>
          <w:rFonts w:ascii="Verdana" w:hAnsi="Verdana"/>
          <w:sz w:val="20"/>
          <w:szCs w:val="20"/>
          <w:lang w:val="es-ES"/>
        </w:rPr>
      </w:pPr>
      <w:r w:rsidRPr="009A775F">
        <w:rPr>
          <w:rFonts w:ascii="Verdana" w:eastAsia="Times New Roman" w:hAnsi="Verdana" w:cs="Times New Roman"/>
          <w:sz w:val="20"/>
          <w:szCs w:val="20"/>
          <w:lang w:val="es-ES" w:eastAsia="es-PR"/>
        </w:rPr>
        <w:t xml:space="preserve">Un buen sistema de </w:t>
      </w:r>
      <w:proofErr w:type="spellStart"/>
      <w:r w:rsidRPr="009A775F">
        <w:rPr>
          <w:rFonts w:ascii="Verdana" w:eastAsia="Times New Roman" w:hAnsi="Verdana" w:cs="Times New Roman"/>
          <w:sz w:val="20"/>
          <w:szCs w:val="20"/>
          <w:lang w:val="es-ES" w:eastAsia="es-PR"/>
        </w:rPr>
        <w:t>hemovigilancia</w:t>
      </w:r>
      <w:proofErr w:type="spellEnd"/>
      <w:r w:rsidRPr="009A775F">
        <w:rPr>
          <w:rFonts w:ascii="Verdana" w:eastAsia="Times New Roman" w:hAnsi="Verdana" w:cs="Times New Roman"/>
          <w:sz w:val="20"/>
          <w:szCs w:val="20"/>
          <w:lang w:val="es-ES" w:eastAsia="es-PR"/>
        </w:rPr>
        <w:t xml:space="preserve"> implica la participación de todos los eslabones de la cadena transfusional y la práctica internacional indica que se puede adaptar a las condiciones concretas de cada servicio clínico</w:t>
      </w:r>
      <w:r w:rsidR="0083211E" w:rsidRPr="009A775F">
        <w:rPr>
          <w:rFonts w:ascii="Verdana" w:eastAsia="Times New Roman" w:hAnsi="Verdana" w:cs="Times New Roman"/>
          <w:sz w:val="20"/>
          <w:szCs w:val="20"/>
          <w:lang w:val="es-ES" w:eastAsia="es-PR"/>
        </w:rPr>
        <w:t>.</w:t>
      </w:r>
      <w:r w:rsidR="00F3553C" w:rsidRPr="009A775F">
        <w:rPr>
          <w:rFonts w:ascii="Verdana" w:eastAsia="Times New Roman" w:hAnsi="Verdana" w:cs="Times New Roman"/>
          <w:sz w:val="20"/>
          <w:szCs w:val="20"/>
          <w:vertAlign w:val="superscript"/>
          <w:lang w:val="es-ES" w:eastAsia="es-PR"/>
        </w:rPr>
        <w:t>15</w:t>
      </w:r>
      <w:r w:rsidR="00EF66AD" w:rsidRPr="009A775F">
        <w:rPr>
          <w:rFonts w:ascii="Verdana" w:eastAsia="Times New Roman" w:hAnsi="Verdana" w:cs="Times New Roman"/>
          <w:sz w:val="20"/>
          <w:szCs w:val="20"/>
          <w:vertAlign w:val="superscript"/>
          <w:lang w:val="es-ES" w:eastAsia="es-PR"/>
        </w:rPr>
        <w:t>, 16</w:t>
      </w:r>
    </w:p>
    <w:p w:rsidR="003D239D" w:rsidRPr="009A775F" w:rsidRDefault="003D239D" w:rsidP="0055600E">
      <w:pPr>
        <w:spacing w:after="0" w:line="240" w:lineRule="auto"/>
        <w:jc w:val="both"/>
        <w:rPr>
          <w:rFonts w:ascii="Verdana" w:eastAsia="Times New Roman" w:hAnsi="Verdana" w:cs="Times New Roman"/>
          <w:sz w:val="20"/>
          <w:szCs w:val="20"/>
          <w:lang w:val="es-ES" w:eastAsia="es-PR"/>
        </w:rPr>
      </w:pPr>
      <w:r w:rsidRPr="009A775F">
        <w:rPr>
          <w:rFonts w:ascii="Verdana" w:eastAsia="Times New Roman" w:hAnsi="Verdana" w:cs="Times New Roman"/>
          <w:sz w:val="20"/>
          <w:szCs w:val="20"/>
          <w:lang w:val="es-ES" w:eastAsia="es-PR"/>
        </w:rPr>
        <w:t xml:space="preserve">En el mundo actual, la hemoterapia es parte esencial de la medicina. Su empleo es prácticamente imprescindible en el tratamiento de pacientes con enfermedades </w:t>
      </w:r>
      <w:proofErr w:type="spellStart"/>
      <w:r w:rsidRPr="009A775F">
        <w:rPr>
          <w:rFonts w:ascii="Verdana" w:eastAsia="Times New Roman" w:hAnsi="Verdana" w:cs="Times New Roman"/>
          <w:sz w:val="20"/>
          <w:szCs w:val="20"/>
          <w:lang w:val="es-ES" w:eastAsia="es-PR"/>
        </w:rPr>
        <w:t>oncohematológicas</w:t>
      </w:r>
      <w:proofErr w:type="spellEnd"/>
      <w:r w:rsidRPr="009A775F">
        <w:rPr>
          <w:rFonts w:ascii="Verdana" w:eastAsia="Times New Roman" w:hAnsi="Verdana" w:cs="Times New Roman"/>
          <w:sz w:val="20"/>
          <w:szCs w:val="20"/>
          <w:lang w:val="es-ES" w:eastAsia="es-PR"/>
        </w:rPr>
        <w:t xml:space="preserve">, en la </w:t>
      </w:r>
      <w:proofErr w:type="spellStart"/>
      <w:r w:rsidRPr="009A775F">
        <w:rPr>
          <w:rFonts w:ascii="Verdana" w:eastAsia="Times New Roman" w:hAnsi="Verdana" w:cs="Times New Roman"/>
          <w:sz w:val="20"/>
          <w:szCs w:val="20"/>
          <w:lang w:val="es-ES" w:eastAsia="es-PR"/>
        </w:rPr>
        <w:t>trasplantología</w:t>
      </w:r>
      <w:proofErr w:type="spellEnd"/>
      <w:r w:rsidRPr="009A775F">
        <w:rPr>
          <w:rFonts w:ascii="Verdana" w:eastAsia="Times New Roman" w:hAnsi="Verdana" w:cs="Times New Roman"/>
          <w:sz w:val="20"/>
          <w:szCs w:val="20"/>
          <w:lang w:val="es-ES" w:eastAsia="es-PR"/>
        </w:rPr>
        <w:t>, la traumatología, la cirugía mayor y las complicaciones obstétricas</w:t>
      </w:r>
      <w:r w:rsidR="0083211E" w:rsidRPr="009A775F">
        <w:rPr>
          <w:rFonts w:ascii="Verdana" w:eastAsia="Times New Roman" w:hAnsi="Verdana" w:cs="Times New Roman"/>
          <w:sz w:val="20"/>
          <w:szCs w:val="20"/>
          <w:lang w:val="es-ES" w:eastAsia="es-PR"/>
        </w:rPr>
        <w:t>.</w:t>
      </w:r>
      <w:r w:rsidR="00924F2E" w:rsidRPr="009A775F">
        <w:rPr>
          <w:rFonts w:ascii="Verdana" w:eastAsia="Times New Roman" w:hAnsi="Verdana" w:cs="Times New Roman"/>
          <w:sz w:val="20"/>
          <w:szCs w:val="20"/>
          <w:lang w:val="es-ES" w:eastAsia="es-PR"/>
        </w:rPr>
        <w:t xml:space="preserve"> </w:t>
      </w:r>
      <w:r w:rsidR="00924F2E" w:rsidRPr="009A775F">
        <w:rPr>
          <w:rFonts w:ascii="Verdana" w:eastAsia="Times New Roman" w:hAnsi="Verdana" w:cs="Times New Roman"/>
          <w:sz w:val="20"/>
          <w:szCs w:val="20"/>
          <w:vertAlign w:val="superscript"/>
          <w:lang w:val="es-ES" w:eastAsia="es-PR"/>
        </w:rPr>
        <w:t>3</w:t>
      </w:r>
    </w:p>
    <w:p w:rsidR="001F348E" w:rsidRPr="009A775F" w:rsidRDefault="001F348E" w:rsidP="001F348E">
      <w:pPr>
        <w:autoSpaceDE w:val="0"/>
        <w:autoSpaceDN w:val="0"/>
        <w:adjustRightInd w:val="0"/>
        <w:spacing w:after="0" w:line="240" w:lineRule="auto"/>
        <w:jc w:val="both"/>
        <w:rPr>
          <w:rFonts w:ascii="Verdana" w:hAnsi="Verdana" w:cs="Arial"/>
          <w:sz w:val="20"/>
          <w:szCs w:val="20"/>
          <w:vertAlign w:val="superscript"/>
          <w:lang w:val="es-ES"/>
        </w:rPr>
      </w:pPr>
      <w:r w:rsidRPr="009A775F">
        <w:rPr>
          <w:rFonts w:ascii="Verdana" w:hAnsi="Verdana" w:cs="Arial"/>
          <w:sz w:val="20"/>
          <w:szCs w:val="20"/>
          <w:lang w:val="es-ES"/>
        </w:rPr>
        <w:t>Evidencia proveniente de cada región del mundo indica que existen variaciones considerables en los patrones sobre el uso clínico de la sangre entre los diferentes hospitales, diferentes especialidades Clínicas y a</w:t>
      </w:r>
      <w:r w:rsidR="009F1C84" w:rsidRPr="009A775F">
        <w:rPr>
          <w:rFonts w:ascii="Verdana" w:hAnsi="Verdana" w:cs="Arial"/>
          <w:sz w:val="20"/>
          <w:szCs w:val="20"/>
          <w:lang w:val="es-ES"/>
        </w:rPr>
        <w:t>un entre los diferentes especialistas</w:t>
      </w:r>
      <w:r w:rsidRPr="009A775F">
        <w:rPr>
          <w:rFonts w:ascii="Verdana" w:hAnsi="Verdana" w:cs="Arial"/>
          <w:sz w:val="20"/>
          <w:szCs w:val="20"/>
          <w:lang w:val="es-ES"/>
        </w:rPr>
        <w:t xml:space="preserve"> de un mismo equipo. Esto sugiere que la sangre y productos sanguíneos con frecuencia son util</w:t>
      </w:r>
      <w:r w:rsidR="009F1C84" w:rsidRPr="009A775F">
        <w:rPr>
          <w:rFonts w:ascii="Verdana" w:hAnsi="Verdana" w:cs="Arial"/>
          <w:sz w:val="20"/>
          <w:szCs w:val="20"/>
          <w:lang w:val="es-ES"/>
        </w:rPr>
        <w:t>izados en forma inapropiada.</w:t>
      </w:r>
      <w:r w:rsidR="00F3553C" w:rsidRPr="009A775F">
        <w:rPr>
          <w:rFonts w:ascii="Verdana" w:hAnsi="Verdana" w:cs="Arial"/>
          <w:sz w:val="20"/>
          <w:szCs w:val="20"/>
          <w:vertAlign w:val="superscript"/>
          <w:lang w:val="es-ES"/>
        </w:rPr>
        <w:t>17</w:t>
      </w:r>
    </w:p>
    <w:p w:rsidR="009F1C84" w:rsidRPr="009A775F" w:rsidRDefault="009F1C84" w:rsidP="001F348E">
      <w:pPr>
        <w:autoSpaceDE w:val="0"/>
        <w:autoSpaceDN w:val="0"/>
        <w:adjustRightInd w:val="0"/>
        <w:spacing w:after="0" w:line="240" w:lineRule="auto"/>
        <w:jc w:val="both"/>
        <w:rPr>
          <w:rFonts w:ascii="Verdana" w:hAnsi="Verdana" w:cs="Arial"/>
          <w:sz w:val="20"/>
          <w:szCs w:val="20"/>
          <w:lang w:val="es-ES"/>
        </w:rPr>
      </w:pPr>
    </w:p>
    <w:p w:rsidR="00C76C29" w:rsidRPr="009A775F" w:rsidRDefault="00EF66AD" w:rsidP="00FD0672">
      <w:pPr>
        <w:spacing w:after="0" w:line="240" w:lineRule="auto"/>
        <w:jc w:val="both"/>
        <w:rPr>
          <w:rFonts w:ascii="Verdana" w:eastAsia="Times New Roman" w:hAnsi="Verdana" w:cs="Times New Roman"/>
          <w:sz w:val="20"/>
          <w:szCs w:val="20"/>
          <w:vertAlign w:val="superscript"/>
          <w:lang w:val="es-ES" w:eastAsia="es-PR"/>
        </w:rPr>
      </w:pPr>
      <w:r w:rsidRPr="009A775F">
        <w:rPr>
          <w:rFonts w:ascii="Verdana" w:hAnsi="Verdana"/>
          <w:sz w:val="20"/>
          <w:szCs w:val="20"/>
          <w:lang w:val="es-ES"/>
        </w:rPr>
        <w:t>P</w:t>
      </w:r>
      <w:r w:rsidR="00975651" w:rsidRPr="009A775F">
        <w:rPr>
          <w:rFonts w:ascii="Verdana" w:hAnsi="Verdana"/>
          <w:sz w:val="20"/>
          <w:szCs w:val="20"/>
          <w:lang w:val="es-ES"/>
        </w:rPr>
        <w:t>or</w:t>
      </w:r>
      <w:r w:rsidR="00234EF9" w:rsidRPr="009A775F">
        <w:rPr>
          <w:rFonts w:ascii="Verdana" w:hAnsi="Verdana"/>
          <w:sz w:val="20"/>
          <w:szCs w:val="20"/>
          <w:lang w:val="es-ES"/>
        </w:rPr>
        <w:t xml:space="preserve"> las características </w:t>
      </w:r>
      <w:r w:rsidR="00D46362" w:rsidRPr="009A775F">
        <w:rPr>
          <w:rFonts w:ascii="Verdana" w:hAnsi="Verdana"/>
          <w:sz w:val="20"/>
          <w:szCs w:val="20"/>
          <w:lang w:val="es-ES"/>
        </w:rPr>
        <w:t xml:space="preserve">asistenciales del hospital </w:t>
      </w:r>
      <w:r w:rsidR="00DE18CC" w:rsidRPr="009A775F">
        <w:rPr>
          <w:rFonts w:ascii="Verdana" w:hAnsi="Verdana"/>
          <w:sz w:val="20"/>
          <w:szCs w:val="20"/>
          <w:lang w:val="es-ES"/>
        </w:rPr>
        <w:t>Dr. “León Cuervo Rubio”</w:t>
      </w:r>
      <w:r w:rsidRPr="009A775F">
        <w:rPr>
          <w:rFonts w:ascii="Verdana" w:hAnsi="Verdana"/>
          <w:sz w:val="20"/>
          <w:szCs w:val="20"/>
          <w:lang w:val="es-ES"/>
        </w:rPr>
        <w:t xml:space="preserve"> </w:t>
      </w:r>
      <w:r w:rsidR="00234EF9" w:rsidRPr="009A775F">
        <w:rPr>
          <w:rFonts w:ascii="Verdana" w:hAnsi="Verdana"/>
          <w:sz w:val="20"/>
          <w:szCs w:val="20"/>
          <w:lang w:val="es-ES"/>
        </w:rPr>
        <w:t>el servicio</w:t>
      </w:r>
      <w:r w:rsidR="00D46362" w:rsidRPr="009A775F">
        <w:rPr>
          <w:rFonts w:ascii="Verdana" w:hAnsi="Verdana"/>
          <w:sz w:val="20"/>
          <w:szCs w:val="20"/>
          <w:lang w:val="es-ES"/>
        </w:rPr>
        <w:t xml:space="preserve"> de medicina interna</w:t>
      </w:r>
      <w:r w:rsidR="00054F29" w:rsidRPr="009A775F">
        <w:rPr>
          <w:rFonts w:ascii="Verdana" w:hAnsi="Verdana"/>
          <w:sz w:val="20"/>
          <w:szCs w:val="20"/>
          <w:lang w:val="es-ES"/>
        </w:rPr>
        <w:t xml:space="preserve"> es</w:t>
      </w:r>
      <w:r w:rsidR="00D46362" w:rsidRPr="009A775F">
        <w:rPr>
          <w:rFonts w:ascii="Verdana" w:hAnsi="Verdana"/>
          <w:sz w:val="20"/>
          <w:szCs w:val="20"/>
          <w:lang w:val="es-ES"/>
        </w:rPr>
        <w:t xml:space="preserve"> el</w:t>
      </w:r>
      <w:r w:rsidR="00234EF9" w:rsidRPr="009A775F">
        <w:rPr>
          <w:rFonts w:ascii="Verdana" w:hAnsi="Verdana"/>
          <w:sz w:val="20"/>
          <w:szCs w:val="20"/>
          <w:lang w:val="es-ES"/>
        </w:rPr>
        <w:t xml:space="preserve"> </w:t>
      </w:r>
      <w:r w:rsidR="00054F29" w:rsidRPr="009A775F">
        <w:rPr>
          <w:rFonts w:ascii="Verdana" w:hAnsi="Verdana"/>
          <w:sz w:val="20"/>
          <w:szCs w:val="20"/>
          <w:lang w:val="es-ES"/>
        </w:rPr>
        <w:t>que más camas dispone, y</w:t>
      </w:r>
      <w:r w:rsidR="00234EF9" w:rsidRPr="009A775F">
        <w:rPr>
          <w:rFonts w:ascii="Verdana" w:hAnsi="Verdana"/>
          <w:sz w:val="20"/>
          <w:szCs w:val="20"/>
          <w:lang w:val="es-ES"/>
        </w:rPr>
        <w:t xml:space="preserve"> </w:t>
      </w:r>
      <w:r w:rsidR="00054F29" w:rsidRPr="009A775F">
        <w:rPr>
          <w:rFonts w:ascii="Verdana" w:hAnsi="Verdana"/>
          <w:sz w:val="20"/>
          <w:szCs w:val="20"/>
          <w:lang w:val="es-ES"/>
        </w:rPr>
        <w:t>a su vez</w:t>
      </w:r>
      <w:r w:rsidR="00234EF9" w:rsidRPr="009A775F">
        <w:rPr>
          <w:rFonts w:ascii="Verdana" w:hAnsi="Verdana"/>
          <w:sz w:val="20"/>
          <w:szCs w:val="20"/>
          <w:lang w:val="es-ES"/>
        </w:rPr>
        <w:t xml:space="preserve"> el que mayor </w:t>
      </w:r>
      <w:r w:rsidR="00032BF2" w:rsidRPr="009A775F">
        <w:rPr>
          <w:rFonts w:ascii="Verdana" w:hAnsi="Verdana"/>
          <w:sz w:val="20"/>
          <w:szCs w:val="20"/>
          <w:lang w:val="es-ES"/>
        </w:rPr>
        <w:t>número</w:t>
      </w:r>
      <w:r w:rsidR="00D46362" w:rsidRPr="009A775F">
        <w:rPr>
          <w:rFonts w:ascii="Verdana" w:hAnsi="Verdana"/>
          <w:sz w:val="20"/>
          <w:szCs w:val="20"/>
          <w:lang w:val="es-ES"/>
        </w:rPr>
        <w:t xml:space="preserve"> de ingresos</w:t>
      </w:r>
      <w:r w:rsidR="00234EF9" w:rsidRPr="009A775F">
        <w:rPr>
          <w:rFonts w:ascii="Verdana" w:hAnsi="Verdana"/>
          <w:sz w:val="20"/>
          <w:szCs w:val="20"/>
          <w:lang w:val="es-ES"/>
        </w:rPr>
        <w:t xml:space="preserve"> </w:t>
      </w:r>
      <w:r w:rsidR="00D46362" w:rsidRPr="009A775F">
        <w:rPr>
          <w:rFonts w:ascii="Verdana" w:hAnsi="Verdana"/>
          <w:sz w:val="20"/>
          <w:szCs w:val="20"/>
          <w:lang w:val="es-ES"/>
        </w:rPr>
        <w:t>tiene,</w:t>
      </w:r>
      <w:r w:rsidR="00387943" w:rsidRPr="009A775F">
        <w:rPr>
          <w:rFonts w:ascii="Verdana" w:hAnsi="Verdana"/>
          <w:sz w:val="20"/>
          <w:szCs w:val="20"/>
          <w:lang w:val="es-MX"/>
        </w:rPr>
        <w:t xml:space="preserve"> </w:t>
      </w:r>
      <w:r w:rsidR="00387943" w:rsidRPr="009A775F">
        <w:rPr>
          <w:rFonts w:ascii="Verdana" w:hAnsi="Verdana"/>
          <w:sz w:val="20"/>
          <w:szCs w:val="20"/>
          <w:lang w:val="es-ES"/>
        </w:rPr>
        <w:t>a esto añadir que este hospital brinda servicio de transfusiones a la Unidad Oncológica “Tercer Congreso” y  que los ingresos para este proceder se realizan por este servicio. La</w:t>
      </w:r>
      <w:r w:rsidR="00D46362" w:rsidRPr="009A775F">
        <w:rPr>
          <w:rFonts w:ascii="Verdana" w:hAnsi="Verdana"/>
          <w:sz w:val="20"/>
          <w:szCs w:val="20"/>
          <w:lang w:val="es-ES"/>
        </w:rPr>
        <w:t>s</w:t>
      </w:r>
      <w:r w:rsidR="00FD0672" w:rsidRPr="009A775F">
        <w:rPr>
          <w:rFonts w:ascii="Verdana" w:hAnsi="Verdana"/>
          <w:sz w:val="20"/>
          <w:szCs w:val="20"/>
          <w:lang w:val="es-ES"/>
        </w:rPr>
        <w:t xml:space="preserve"> demás </w:t>
      </w:r>
      <w:r w:rsidR="00387943" w:rsidRPr="009A775F">
        <w:rPr>
          <w:rFonts w:ascii="Verdana" w:hAnsi="Verdana"/>
          <w:sz w:val="20"/>
          <w:szCs w:val="20"/>
          <w:lang w:val="es-ES"/>
        </w:rPr>
        <w:t>unidades</w:t>
      </w:r>
      <w:r w:rsidR="00B1337F" w:rsidRPr="009A775F">
        <w:rPr>
          <w:rFonts w:ascii="Verdana" w:hAnsi="Verdana"/>
          <w:sz w:val="20"/>
          <w:szCs w:val="20"/>
          <w:lang w:val="es-ES"/>
        </w:rPr>
        <w:t xml:space="preserve"> tanto </w:t>
      </w:r>
      <w:r w:rsidR="00387943" w:rsidRPr="009A775F">
        <w:rPr>
          <w:rFonts w:ascii="Verdana" w:hAnsi="Verdana"/>
          <w:sz w:val="20"/>
          <w:szCs w:val="20"/>
          <w:lang w:val="es-ES"/>
        </w:rPr>
        <w:t>clínica</w:t>
      </w:r>
      <w:r w:rsidR="00032BF2" w:rsidRPr="009A775F">
        <w:rPr>
          <w:rFonts w:ascii="Verdana" w:hAnsi="Verdana"/>
          <w:sz w:val="20"/>
          <w:szCs w:val="20"/>
          <w:lang w:val="es-ES"/>
        </w:rPr>
        <w:t>s</w:t>
      </w:r>
      <w:r w:rsidR="00387943" w:rsidRPr="009A775F">
        <w:rPr>
          <w:rFonts w:ascii="Verdana" w:hAnsi="Verdana"/>
          <w:sz w:val="20"/>
          <w:szCs w:val="20"/>
          <w:lang w:val="es-ES"/>
        </w:rPr>
        <w:t xml:space="preserve"> como quirúrgica</w:t>
      </w:r>
      <w:r w:rsidR="0062245D" w:rsidRPr="009A775F">
        <w:rPr>
          <w:rFonts w:ascii="Verdana" w:hAnsi="Verdana"/>
          <w:sz w:val="20"/>
          <w:szCs w:val="20"/>
          <w:lang w:val="es-ES"/>
        </w:rPr>
        <w:t xml:space="preserve">s tuvieron indicaciones menores </w:t>
      </w:r>
      <w:r w:rsidR="00FD0672" w:rsidRPr="009A775F">
        <w:rPr>
          <w:rFonts w:ascii="Verdana" w:hAnsi="Verdana"/>
          <w:sz w:val="20"/>
          <w:szCs w:val="20"/>
          <w:lang w:val="es-ES"/>
        </w:rPr>
        <w:t xml:space="preserve"> </w:t>
      </w:r>
      <w:r w:rsidR="0062245D" w:rsidRPr="009A775F">
        <w:rPr>
          <w:rFonts w:ascii="Verdana" w:hAnsi="Verdana"/>
          <w:sz w:val="20"/>
          <w:szCs w:val="20"/>
          <w:lang w:val="es-ES"/>
        </w:rPr>
        <w:t xml:space="preserve">pero </w:t>
      </w:r>
      <w:r w:rsidR="00054F29" w:rsidRPr="009A775F">
        <w:rPr>
          <w:rFonts w:ascii="Verdana" w:hAnsi="Verdana"/>
          <w:sz w:val="20"/>
          <w:szCs w:val="20"/>
          <w:lang w:val="es-ES"/>
        </w:rPr>
        <w:t xml:space="preserve">que se </w:t>
      </w:r>
      <w:r w:rsidRPr="009A775F">
        <w:rPr>
          <w:rFonts w:ascii="Verdana" w:hAnsi="Verdana"/>
          <w:sz w:val="20"/>
          <w:szCs w:val="20"/>
          <w:lang w:val="es-ES"/>
        </w:rPr>
        <w:t>a</w:t>
      </w:r>
      <w:r w:rsidR="00054F29" w:rsidRPr="009A775F">
        <w:rPr>
          <w:rFonts w:ascii="Verdana" w:hAnsi="Verdana"/>
          <w:sz w:val="20"/>
          <w:szCs w:val="20"/>
          <w:lang w:val="es-ES"/>
        </w:rPr>
        <w:t>justan</w:t>
      </w:r>
      <w:r w:rsidRPr="009A775F">
        <w:rPr>
          <w:rFonts w:ascii="Verdana" w:hAnsi="Verdana"/>
          <w:sz w:val="20"/>
          <w:szCs w:val="20"/>
          <w:lang w:val="es-ES"/>
        </w:rPr>
        <w:t xml:space="preserve"> sus principa</w:t>
      </w:r>
      <w:r w:rsidR="0062245D" w:rsidRPr="009A775F">
        <w:rPr>
          <w:rFonts w:ascii="Verdana" w:hAnsi="Verdana"/>
          <w:sz w:val="20"/>
          <w:szCs w:val="20"/>
          <w:lang w:val="es-ES"/>
        </w:rPr>
        <w:t xml:space="preserve">les </w:t>
      </w:r>
      <w:r w:rsidR="00032BF2" w:rsidRPr="009A775F">
        <w:rPr>
          <w:rFonts w:ascii="Verdana" w:hAnsi="Verdana"/>
          <w:sz w:val="20"/>
          <w:szCs w:val="20"/>
          <w:lang w:val="es-ES"/>
        </w:rPr>
        <w:t>diagnósticos</w:t>
      </w:r>
      <w:r w:rsidR="0062245D" w:rsidRPr="009A775F">
        <w:rPr>
          <w:rFonts w:ascii="Verdana" w:hAnsi="Verdana"/>
          <w:sz w:val="20"/>
          <w:szCs w:val="20"/>
          <w:lang w:val="es-ES"/>
        </w:rPr>
        <w:t>.</w:t>
      </w:r>
      <w:r w:rsidR="00032BF2" w:rsidRPr="009A775F">
        <w:rPr>
          <w:rFonts w:ascii="Verdana" w:hAnsi="Verdana"/>
          <w:sz w:val="20"/>
          <w:szCs w:val="20"/>
          <w:lang w:val="es-ES"/>
        </w:rPr>
        <w:t xml:space="preserve"> </w:t>
      </w:r>
      <w:r w:rsidR="00B71886" w:rsidRPr="009A775F">
        <w:rPr>
          <w:rFonts w:ascii="Verdana" w:hAnsi="Verdana"/>
          <w:sz w:val="20"/>
          <w:szCs w:val="20"/>
          <w:lang w:val="es-ES"/>
        </w:rPr>
        <w:t xml:space="preserve">Es evidente entonces que al </w:t>
      </w:r>
      <w:r w:rsidR="0062245D" w:rsidRPr="009A775F">
        <w:rPr>
          <w:rFonts w:ascii="Verdana" w:hAnsi="Verdana"/>
          <w:sz w:val="20"/>
          <w:szCs w:val="20"/>
          <w:lang w:val="es-ES"/>
        </w:rPr>
        <w:t xml:space="preserve"> igual que en el Hospital  Calos J </w:t>
      </w:r>
      <w:r w:rsidR="00D46362" w:rsidRPr="009A775F">
        <w:rPr>
          <w:rFonts w:ascii="Verdana" w:hAnsi="Verdana"/>
          <w:sz w:val="20"/>
          <w:szCs w:val="20"/>
          <w:lang w:val="es-ES"/>
        </w:rPr>
        <w:t>Finlay</w:t>
      </w:r>
      <w:r w:rsidR="00DE18CC" w:rsidRPr="009A775F">
        <w:rPr>
          <w:rFonts w:ascii="Verdana" w:hAnsi="Verdana"/>
          <w:sz w:val="20"/>
          <w:szCs w:val="20"/>
          <w:lang w:val="es-ES"/>
        </w:rPr>
        <w:t>, quien</w:t>
      </w:r>
      <w:r w:rsidR="00D46362" w:rsidRPr="009A775F">
        <w:rPr>
          <w:rFonts w:ascii="Verdana" w:hAnsi="Verdana"/>
          <w:sz w:val="20"/>
          <w:szCs w:val="20"/>
          <w:lang w:val="es-ES"/>
        </w:rPr>
        <w:t xml:space="preserve"> ha sido referencia para esta investigación por su similitud hospitalaria</w:t>
      </w:r>
      <w:r w:rsidRPr="009A775F">
        <w:rPr>
          <w:rFonts w:ascii="Verdana" w:hAnsi="Verdana"/>
          <w:sz w:val="20"/>
          <w:szCs w:val="20"/>
          <w:lang w:val="es-ES"/>
        </w:rPr>
        <w:t xml:space="preserve"> </w:t>
      </w:r>
      <w:r w:rsidR="00B71886" w:rsidRPr="009A775F">
        <w:rPr>
          <w:rFonts w:ascii="Verdana" w:eastAsia="Times New Roman" w:hAnsi="Verdana" w:cs="Times New Roman"/>
          <w:sz w:val="20"/>
          <w:szCs w:val="20"/>
          <w:lang w:val="es-ES" w:eastAsia="es-PR"/>
        </w:rPr>
        <w:t>e</w:t>
      </w:r>
      <w:r w:rsidR="00C76C29" w:rsidRPr="009A775F">
        <w:rPr>
          <w:rFonts w:ascii="Verdana" w:eastAsia="Times New Roman" w:hAnsi="Verdana" w:cs="Times New Roman"/>
          <w:sz w:val="20"/>
          <w:szCs w:val="20"/>
          <w:lang w:val="es-ES" w:eastAsia="es-PR"/>
        </w:rPr>
        <w:t xml:space="preserve">l consumo de sangre por las especialidades clínicas </w:t>
      </w:r>
      <w:r w:rsidR="00D46362" w:rsidRPr="009A775F">
        <w:rPr>
          <w:rFonts w:ascii="Verdana" w:eastAsia="Times New Roman" w:hAnsi="Verdana" w:cs="Times New Roman"/>
          <w:sz w:val="20"/>
          <w:szCs w:val="20"/>
          <w:lang w:val="es-ES" w:eastAsia="es-PR"/>
        </w:rPr>
        <w:t>fue</w:t>
      </w:r>
      <w:r w:rsidR="00C76C29" w:rsidRPr="009A775F">
        <w:rPr>
          <w:rFonts w:ascii="Verdana" w:eastAsia="Times New Roman" w:hAnsi="Verdana" w:cs="Times New Roman"/>
          <w:sz w:val="20"/>
          <w:szCs w:val="20"/>
          <w:lang w:val="es-ES" w:eastAsia="es-PR"/>
        </w:rPr>
        <w:t xml:space="preserve"> superior a las quirúrgicas.</w:t>
      </w:r>
      <w:r w:rsidR="009F1C84" w:rsidRPr="009A775F">
        <w:rPr>
          <w:rFonts w:ascii="Verdana" w:eastAsia="Times New Roman" w:hAnsi="Verdana" w:cs="Times New Roman"/>
          <w:sz w:val="20"/>
          <w:szCs w:val="20"/>
          <w:vertAlign w:val="superscript"/>
          <w:lang w:val="es-ES" w:eastAsia="es-PR"/>
        </w:rPr>
        <w:t>5</w:t>
      </w:r>
      <w:r w:rsidR="00C76C29" w:rsidRPr="009A775F">
        <w:rPr>
          <w:rFonts w:ascii="Verdana" w:eastAsia="Times New Roman" w:hAnsi="Verdana" w:cs="Times New Roman"/>
          <w:sz w:val="20"/>
          <w:szCs w:val="20"/>
          <w:lang w:val="es-ES" w:eastAsia="es-PR"/>
        </w:rPr>
        <w:t xml:space="preserve"> Otros investigadores han publicado que las especialidades clínicas consumen hasta el 71 % por encima de las quirúrgicas.</w:t>
      </w:r>
      <w:r w:rsidR="00F3553C" w:rsidRPr="009A775F">
        <w:rPr>
          <w:rFonts w:ascii="Verdana" w:eastAsia="Times New Roman" w:hAnsi="Verdana" w:cs="Times New Roman"/>
          <w:sz w:val="20"/>
          <w:szCs w:val="20"/>
          <w:vertAlign w:val="superscript"/>
          <w:lang w:val="es-ES" w:eastAsia="es-PR"/>
        </w:rPr>
        <w:t>18</w:t>
      </w:r>
      <w:r w:rsidR="0062245D" w:rsidRPr="009A775F">
        <w:rPr>
          <w:rFonts w:ascii="Verdana" w:eastAsia="Times New Roman" w:hAnsi="Verdana" w:cs="Times New Roman"/>
          <w:sz w:val="20"/>
          <w:szCs w:val="20"/>
          <w:vertAlign w:val="superscript"/>
          <w:lang w:val="es-ES" w:eastAsia="es-PR"/>
        </w:rPr>
        <w:t xml:space="preserve"> </w:t>
      </w:r>
    </w:p>
    <w:p w:rsidR="00246797" w:rsidRPr="009A775F" w:rsidRDefault="00246797" w:rsidP="00FD0672">
      <w:pPr>
        <w:spacing w:after="0" w:line="240" w:lineRule="auto"/>
        <w:jc w:val="both"/>
        <w:rPr>
          <w:rFonts w:ascii="Verdana" w:hAnsi="Verdana"/>
          <w:sz w:val="20"/>
          <w:szCs w:val="20"/>
          <w:lang w:val="es-ES"/>
        </w:rPr>
      </w:pPr>
    </w:p>
    <w:p w:rsidR="00A41650" w:rsidRPr="009A775F" w:rsidRDefault="00B71886" w:rsidP="00B71886">
      <w:pPr>
        <w:spacing w:after="0" w:line="240" w:lineRule="auto"/>
        <w:jc w:val="both"/>
        <w:rPr>
          <w:rFonts w:ascii="Verdana" w:eastAsia="Times New Roman" w:hAnsi="Verdana" w:cs="Times New Roman"/>
          <w:sz w:val="20"/>
          <w:szCs w:val="20"/>
          <w:vertAlign w:val="superscript"/>
          <w:lang w:val="es-ES" w:eastAsia="es-PR"/>
        </w:rPr>
      </w:pPr>
      <w:r w:rsidRPr="009A775F">
        <w:rPr>
          <w:rFonts w:ascii="Verdana" w:hAnsi="Verdana"/>
          <w:sz w:val="20"/>
          <w:szCs w:val="20"/>
          <w:lang w:val="es-ES"/>
        </w:rPr>
        <w:t xml:space="preserve">En la actualidad </w:t>
      </w:r>
      <w:r w:rsidRPr="009A775F">
        <w:rPr>
          <w:rFonts w:ascii="Verdana" w:eastAsia="Times New Roman" w:hAnsi="Verdana" w:cs="Times New Roman"/>
          <w:sz w:val="20"/>
          <w:szCs w:val="20"/>
          <w:lang w:val="es-ES" w:eastAsia="es-PR"/>
        </w:rPr>
        <w:t>l</w:t>
      </w:r>
      <w:r w:rsidR="00A41650" w:rsidRPr="009A775F">
        <w:rPr>
          <w:rFonts w:ascii="Verdana" w:eastAsia="Times New Roman" w:hAnsi="Verdana" w:cs="Times New Roman"/>
          <w:sz w:val="20"/>
          <w:szCs w:val="20"/>
          <w:lang w:val="es-ES" w:eastAsia="es-PR"/>
        </w:rPr>
        <w:t>a transfusión de sangre y sus componentes es una terapia relati</w:t>
      </w:r>
      <w:r w:rsidRPr="009A775F">
        <w:rPr>
          <w:rFonts w:ascii="Verdana" w:eastAsia="Times New Roman" w:hAnsi="Verdana" w:cs="Times New Roman"/>
          <w:sz w:val="20"/>
          <w:szCs w:val="20"/>
          <w:lang w:val="es-ES" w:eastAsia="es-PR"/>
        </w:rPr>
        <w:t xml:space="preserve">vamente segura </w:t>
      </w:r>
      <w:r w:rsidR="00A41650" w:rsidRPr="009A775F">
        <w:rPr>
          <w:rFonts w:ascii="Verdana" w:eastAsia="Times New Roman" w:hAnsi="Verdana" w:cs="Times New Roman"/>
          <w:sz w:val="20"/>
          <w:szCs w:val="20"/>
          <w:lang w:val="es-ES" w:eastAsia="es-PR"/>
        </w:rPr>
        <w:t xml:space="preserve">debido a las medidas adoptadas en el reclutamiento y selección de los donantes, a la </w:t>
      </w:r>
      <w:r w:rsidR="00A41650" w:rsidRPr="009A775F">
        <w:rPr>
          <w:rFonts w:ascii="Verdana" w:eastAsia="Times New Roman" w:hAnsi="Verdana" w:cs="Times New Roman"/>
          <w:sz w:val="20"/>
          <w:szCs w:val="20"/>
          <w:lang w:val="es-ES" w:eastAsia="es-PR"/>
        </w:rPr>
        <w:lastRenderedPageBreak/>
        <w:t>implementación de técnicas de escrutinio más sensibles para las infecciones transmisibles por sangre y al consumo racional de l</w:t>
      </w:r>
      <w:r w:rsidRPr="009A775F">
        <w:rPr>
          <w:rFonts w:ascii="Verdana" w:eastAsia="Times New Roman" w:hAnsi="Verdana" w:cs="Times New Roman"/>
          <w:sz w:val="20"/>
          <w:szCs w:val="20"/>
          <w:lang w:val="es-ES" w:eastAsia="es-PR"/>
        </w:rPr>
        <w:t xml:space="preserve">os </w:t>
      </w:r>
      <w:proofErr w:type="spellStart"/>
      <w:r w:rsidRPr="009A775F">
        <w:rPr>
          <w:rFonts w:ascii="Verdana" w:eastAsia="Times New Roman" w:hAnsi="Verdana" w:cs="Times New Roman"/>
          <w:sz w:val="20"/>
          <w:szCs w:val="20"/>
          <w:lang w:val="es-ES" w:eastAsia="es-PR"/>
        </w:rPr>
        <w:t>hemocomponentes</w:t>
      </w:r>
      <w:proofErr w:type="spellEnd"/>
      <w:r w:rsidRPr="009A775F">
        <w:rPr>
          <w:rFonts w:ascii="Verdana" w:eastAsia="Times New Roman" w:hAnsi="Verdana" w:cs="Times New Roman"/>
          <w:sz w:val="20"/>
          <w:szCs w:val="20"/>
          <w:lang w:val="es-ES" w:eastAsia="es-PR"/>
        </w:rPr>
        <w:t xml:space="preserve"> pero </w:t>
      </w:r>
      <w:r w:rsidR="00A41650" w:rsidRPr="009A775F">
        <w:rPr>
          <w:rFonts w:ascii="Verdana" w:eastAsia="Times New Roman" w:hAnsi="Verdana" w:cs="Times New Roman"/>
          <w:sz w:val="20"/>
          <w:szCs w:val="20"/>
          <w:lang w:val="es-ES" w:eastAsia="es-PR"/>
        </w:rPr>
        <w:t xml:space="preserve"> no está exenta de efectos secundarios nocivos.</w:t>
      </w:r>
      <w:r w:rsidR="00F3553C" w:rsidRPr="009A775F">
        <w:rPr>
          <w:rFonts w:ascii="Verdana" w:eastAsia="Times New Roman" w:hAnsi="Verdana" w:cs="Times New Roman"/>
          <w:sz w:val="20"/>
          <w:szCs w:val="20"/>
          <w:vertAlign w:val="superscript"/>
          <w:lang w:val="es-ES" w:eastAsia="es-PR"/>
        </w:rPr>
        <w:t>19-20</w:t>
      </w:r>
    </w:p>
    <w:p w:rsidR="00054F29" w:rsidRPr="009A775F" w:rsidRDefault="00054F29" w:rsidP="00B2113E">
      <w:pPr>
        <w:autoSpaceDE w:val="0"/>
        <w:autoSpaceDN w:val="0"/>
        <w:adjustRightInd w:val="0"/>
        <w:spacing w:after="0" w:line="240" w:lineRule="auto"/>
        <w:jc w:val="both"/>
        <w:rPr>
          <w:rFonts w:ascii="Verdana" w:hAnsi="Verdana" w:cs="Arial"/>
          <w:sz w:val="20"/>
          <w:szCs w:val="20"/>
          <w:lang w:val="es-ES"/>
        </w:rPr>
      </w:pPr>
    </w:p>
    <w:p w:rsidR="00B2113E" w:rsidRPr="009A775F" w:rsidRDefault="00B2113E" w:rsidP="00B2113E">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En algunas situaciones clínicas la transfusión podría ser la única manera de salvar una vida o de mejorar rápidamente una condición grave. Sin embargo, antes de prescribir sangre o productos sanguíneos a un paciente, siempre es esencial el sopesar los riesgos de transfundir contra los riesgos de no transfundir.</w:t>
      </w:r>
    </w:p>
    <w:p w:rsidR="00054F29" w:rsidRPr="009A775F" w:rsidRDefault="00054F29" w:rsidP="00B2113E">
      <w:pPr>
        <w:autoSpaceDE w:val="0"/>
        <w:autoSpaceDN w:val="0"/>
        <w:adjustRightInd w:val="0"/>
        <w:spacing w:after="0" w:line="240" w:lineRule="auto"/>
        <w:jc w:val="both"/>
        <w:rPr>
          <w:rFonts w:ascii="Verdana" w:hAnsi="Verdana" w:cs="Arial"/>
          <w:sz w:val="20"/>
          <w:szCs w:val="20"/>
          <w:lang w:val="es-ES"/>
        </w:rPr>
      </w:pPr>
    </w:p>
    <w:p w:rsidR="008766A4" w:rsidRPr="009A775F" w:rsidRDefault="008766A4" w:rsidP="008766A4">
      <w:pPr>
        <w:autoSpaceDE w:val="0"/>
        <w:autoSpaceDN w:val="0"/>
        <w:adjustRightInd w:val="0"/>
        <w:spacing w:after="0" w:line="240" w:lineRule="auto"/>
        <w:jc w:val="both"/>
        <w:rPr>
          <w:rFonts w:ascii="Verdana" w:hAnsi="Verdana" w:cs="Arial"/>
          <w:sz w:val="20"/>
          <w:szCs w:val="20"/>
          <w:lang w:val="es-ES"/>
        </w:rPr>
      </w:pPr>
      <w:r w:rsidRPr="009A775F">
        <w:rPr>
          <w:rFonts w:ascii="Verdana" w:hAnsi="Verdana" w:cs="Arial"/>
          <w:sz w:val="20"/>
          <w:szCs w:val="20"/>
          <w:lang w:val="es-ES"/>
        </w:rPr>
        <w:t xml:space="preserve">Como se puede apreciar en la </w:t>
      </w:r>
      <w:r w:rsidR="004805E0" w:rsidRPr="009A775F">
        <w:rPr>
          <w:rFonts w:ascii="Verdana" w:hAnsi="Verdana" w:cs="Arial"/>
          <w:sz w:val="20"/>
          <w:szCs w:val="20"/>
          <w:lang w:val="es-ES"/>
        </w:rPr>
        <w:t xml:space="preserve">presente </w:t>
      </w:r>
      <w:r w:rsidRPr="009A775F">
        <w:rPr>
          <w:rFonts w:ascii="Verdana" w:hAnsi="Verdana" w:cs="Arial"/>
          <w:sz w:val="20"/>
          <w:szCs w:val="20"/>
          <w:lang w:val="es-ES"/>
        </w:rPr>
        <w:t xml:space="preserve">investigación </w:t>
      </w:r>
      <w:r w:rsidR="001C419C" w:rsidRPr="009A775F">
        <w:rPr>
          <w:rFonts w:ascii="Verdana" w:hAnsi="Verdana" w:cs="Arial"/>
          <w:sz w:val="20"/>
          <w:szCs w:val="20"/>
          <w:lang w:val="es-ES"/>
        </w:rPr>
        <w:t>la notificación</w:t>
      </w:r>
      <w:r w:rsidRPr="009A775F">
        <w:rPr>
          <w:rFonts w:ascii="Verdana" w:hAnsi="Verdana" w:cs="Arial"/>
          <w:sz w:val="20"/>
          <w:szCs w:val="20"/>
          <w:lang w:val="es-ES"/>
        </w:rPr>
        <w:t xml:space="preserve"> de reacciones adversas fue ma</w:t>
      </w:r>
      <w:r w:rsidR="004805E0" w:rsidRPr="009A775F">
        <w:rPr>
          <w:rFonts w:ascii="Verdana" w:hAnsi="Verdana" w:cs="Arial"/>
          <w:sz w:val="20"/>
          <w:szCs w:val="20"/>
          <w:lang w:val="es-ES"/>
        </w:rPr>
        <w:t xml:space="preserve">yor en el 2015 que en el  </w:t>
      </w:r>
      <w:r w:rsidR="001B5D65" w:rsidRPr="009A775F">
        <w:rPr>
          <w:rFonts w:ascii="Verdana" w:hAnsi="Verdana" w:cs="Arial"/>
          <w:sz w:val="20"/>
          <w:szCs w:val="20"/>
          <w:lang w:val="es-ES"/>
        </w:rPr>
        <w:t>2014 hecho este que p</w:t>
      </w:r>
      <w:r w:rsidRPr="009A775F">
        <w:rPr>
          <w:rFonts w:ascii="Verdana" w:hAnsi="Verdana" w:cs="Arial"/>
          <w:sz w:val="20"/>
          <w:szCs w:val="20"/>
          <w:lang w:val="es-ES"/>
        </w:rPr>
        <w:t>u</w:t>
      </w:r>
      <w:r w:rsidR="001B5D65" w:rsidRPr="009A775F">
        <w:rPr>
          <w:rFonts w:ascii="Verdana" w:hAnsi="Verdana" w:cs="Arial"/>
          <w:sz w:val="20"/>
          <w:szCs w:val="20"/>
          <w:lang w:val="es-ES"/>
        </w:rPr>
        <w:t>diera parecer contradictorio al</w:t>
      </w:r>
      <w:r w:rsidRPr="009A775F">
        <w:rPr>
          <w:rFonts w:ascii="Verdana" w:hAnsi="Verdana" w:cs="Arial"/>
          <w:sz w:val="20"/>
          <w:szCs w:val="20"/>
          <w:lang w:val="es-ES"/>
        </w:rPr>
        <w:t xml:space="preserve"> </w:t>
      </w:r>
      <w:r w:rsidR="001B5D65" w:rsidRPr="009A775F">
        <w:rPr>
          <w:rFonts w:ascii="Verdana" w:hAnsi="Verdana" w:cs="Arial"/>
          <w:sz w:val="20"/>
          <w:szCs w:val="20"/>
          <w:lang w:val="es-ES"/>
        </w:rPr>
        <w:t xml:space="preserve">ser en </w:t>
      </w:r>
      <w:r w:rsidR="00054F29" w:rsidRPr="009A775F">
        <w:rPr>
          <w:rFonts w:ascii="Verdana" w:hAnsi="Verdana" w:cs="Arial"/>
          <w:sz w:val="20"/>
          <w:szCs w:val="20"/>
          <w:lang w:val="es-ES"/>
        </w:rPr>
        <w:t xml:space="preserve">este último </w:t>
      </w:r>
      <w:r w:rsidR="001B5D65" w:rsidRPr="009A775F">
        <w:rPr>
          <w:rFonts w:ascii="Verdana" w:hAnsi="Verdana" w:cs="Arial"/>
          <w:sz w:val="20"/>
          <w:szCs w:val="20"/>
          <w:lang w:val="es-ES"/>
        </w:rPr>
        <w:t xml:space="preserve">donde se realizaran </w:t>
      </w:r>
      <w:r w:rsidR="004805E0" w:rsidRPr="009A775F">
        <w:rPr>
          <w:rFonts w:ascii="Verdana" w:hAnsi="Verdana" w:cs="Arial"/>
          <w:sz w:val="20"/>
          <w:szCs w:val="20"/>
          <w:lang w:val="es-ES"/>
        </w:rPr>
        <w:t>el</w:t>
      </w:r>
      <w:r w:rsidR="001B5D65" w:rsidRPr="009A775F">
        <w:rPr>
          <w:rFonts w:ascii="Verdana" w:hAnsi="Verdana" w:cs="Arial"/>
          <w:sz w:val="20"/>
          <w:szCs w:val="20"/>
          <w:lang w:val="es-ES"/>
        </w:rPr>
        <w:t xml:space="preserve"> mayor  número</w:t>
      </w:r>
      <w:r w:rsidRPr="009A775F">
        <w:rPr>
          <w:rFonts w:ascii="Verdana" w:hAnsi="Verdana" w:cs="Arial"/>
          <w:sz w:val="20"/>
          <w:szCs w:val="20"/>
          <w:lang w:val="es-ES"/>
        </w:rPr>
        <w:t xml:space="preserve"> de transfusiones</w:t>
      </w:r>
      <w:r w:rsidR="001B5D65" w:rsidRPr="009A775F">
        <w:rPr>
          <w:rFonts w:ascii="Verdana" w:hAnsi="Verdana" w:cs="Arial"/>
          <w:sz w:val="20"/>
          <w:szCs w:val="20"/>
          <w:lang w:val="es-ES"/>
        </w:rPr>
        <w:t>. La causa fundamental de este resultado es</w:t>
      </w:r>
      <w:r w:rsidR="00054F29" w:rsidRPr="009A775F">
        <w:rPr>
          <w:rFonts w:ascii="Verdana" w:hAnsi="Verdana" w:cs="Arial"/>
          <w:sz w:val="20"/>
          <w:szCs w:val="20"/>
          <w:lang w:val="es-ES"/>
        </w:rPr>
        <w:t>,</w:t>
      </w:r>
      <w:r w:rsidR="001B5D65" w:rsidRPr="009A775F">
        <w:rPr>
          <w:rFonts w:ascii="Verdana" w:hAnsi="Verdana" w:cs="Arial"/>
          <w:sz w:val="20"/>
          <w:szCs w:val="20"/>
          <w:lang w:val="es-ES"/>
        </w:rPr>
        <w:t xml:space="preserve"> a juicio de los autores</w:t>
      </w:r>
      <w:r w:rsidR="00054F29" w:rsidRPr="009A775F">
        <w:rPr>
          <w:rFonts w:ascii="Verdana" w:hAnsi="Verdana" w:cs="Arial"/>
          <w:sz w:val="20"/>
          <w:szCs w:val="20"/>
          <w:lang w:val="es-ES"/>
        </w:rPr>
        <w:t>,</w:t>
      </w:r>
      <w:r w:rsidR="001B5D65" w:rsidRPr="009A775F">
        <w:rPr>
          <w:rFonts w:ascii="Verdana" w:hAnsi="Verdana" w:cs="Arial"/>
          <w:sz w:val="20"/>
          <w:szCs w:val="20"/>
          <w:lang w:val="es-ES"/>
        </w:rPr>
        <w:t xml:space="preserve"> por el trabajo </w:t>
      </w:r>
      <w:r w:rsidR="00054F29" w:rsidRPr="009A775F">
        <w:rPr>
          <w:rFonts w:ascii="Verdana" w:hAnsi="Verdana" w:cs="Arial"/>
          <w:sz w:val="20"/>
          <w:szCs w:val="20"/>
          <w:lang w:val="es-ES"/>
        </w:rPr>
        <w:t>realizado</w:t>
      </w:r>
      <w:r w:rsidR="001B5D65" w:rsidRPr="009A775F">
        <w:rPr>
          <w:rFonts w:ascii="Verdana" w:hAnsi="Verdana" w:cs="Arial"/>
          <w:sz w:val="20"/>
          <w:szCs w:val="20"/>
          <w:lang w:val="es-ES"/>
        </w:rPr>
        <w:t xml:space="preserve"> con </w:t>
      </w:r>
      <w:r w:rsidR="00C726E8" w:rsidRPr="009A775F">
        <w:rPr>
          <w:rFonts w:ascii="Verdana" w:hAnsi="Verdana" w:cs="Arial"/>
          <w:sz w:val="20"/>
          <w:szCs w:val="20"/>
          <w:lang w:val="es-ES"/>
        </w:rPr>
        <w:t xml:space="preserve"> </w:t>
      </w:r>
      <w:r w:rsidR="003E1201" w:rsidRPr="009A775F">
        <w:rPr>
          <w:rFonts w:ascii="Verdana" w:hAnsi="Verdana" w:cs="Arial"/>
          <w:sz w:val="20"/>
          <w:szCs w:val="20"/>
          <w:lang w:val="es-ES"/>
        </w:rPr>
        <w:t>la pesquisa activa de reacciones</w:t>
      </w:r>
      <w:r w:rsidR="00054F29" w:rsidRPr="009A775F">
        <w:rPr>
          <w:rFonts w:ascii="Verdana" w:hAnsi="Verdana" w:cs="Arial"/>
          <w:sz w:val="20"/>
          <w:szCs w:val="20"/>
          <w:lang w:val="es-ES"/>
        </w:rPr>
        <w:t xml:space="preserve"> adversas</w:t>
      </w:r>
      <w:r w:rsidR="003E1201" w:rsidRPr="009A775F">
        <w:rPr>
          <w:rFonts w:ascii="Verdana" w:hAnsi="Verdana" w:cs="Arial"/>
          <w:sz w:val="20"/>
          <w:szCs w:val="20"/>
          <w:lang w:val="es-ES"/>
        </w:rPr>
        <w:t xml:space="preserve"> </w:t>
      </w:r>
      <w:r w:rsidR="001B5D65" w:rsidRPr="009A775F">
        <w:rPr>
          <w:rFonts w:ascii="Verdana" w:hAnsi="Verdana" w:cs="Arial"/>
          <w:sz w:val="20"/>
          <w:szCs w:val="20"/>
          <w:lang w:val="es-ES"/>
        </w:rPr>
        <w:t xml:space="preserve">a través del Programa de </w:t>
      </w:r>
      <w:proofErr w:type="spellStart"/>
      <w:r w:rsidR="001B5D65" w:rsidRPr="009A775F">
        <w:rPr>
          <w:rFonts w:ascii="Verdana" w:hAnsi="Verdana" w:cs="Arial"/>
          <w:sz w:val="20"/>
          <w:szCs w:val="20"/>
          <w:lang w:val="es-ES"/>
        </w:rPr>
        <w:t>H</w:t>
      </w:r>
      <w:r w:rsidR="00C726E8" w:rsidRPr="009A775F">
        <w:rPr>
          <w:rFonts w:ascii="Verdana" w:hAnsi="Verdana" w:cs="Arial"/>
          <w:sz w:val="20"/>
          <w:szCs w:val="20"/>
          <w:lang w:val="es-ES"/>
        </w:rPr>
        <w:t>emovigilancia</w:t>
      </w:r>
      <w:proofErr w:type="spellEnd"/>
      <w:r w:rsidR="00C726E8" w:rsidRPr="009A775F">
        <w:rPr>
          <w:rFonts w:ascii="Verdana" w:hAnsi="Verdana" w:cs="Arial"/>
          <w:sz w:val="20"/>
          <w:szCs w:val="20"/>
          <w:lang w:val="es-ES"/>
        </w:rPr>
        <w:t xml:space="preserve"> y </w:t>
      </w:r>
      <w:r w:rsidR="001B5D65" w:rsidRPr="009A775F">
        <w:rPr>
          <w:rFonts w:ascii="Verdana" w:hAnsi="Verdana" w:cs="Arial"/>
          <w:sz w:val="20"/>
          <w:szCs w:val="20"/>
          <w:lang w:val="es-ES"/>
        </w:rPr>
        <w:t>por otro lado puede</w:t>
      </w:r>
      <w:r w:rsidR="00C726E8" w:rsidRPr="009A775F">
        <w:rPr>
          <w:rFonts w:ascii="Verdana" w:hAnsi="Verdana" w:cs="Arial"/>
          <w:sz w:val="20"/>
          <w:szCs w:val="20"/>
          <w:lang w:val="es-ES"/>
        </w:rPr>
        <w:t xml:space="preserve">  obedecer a</w:t>
      </w:r>
      <w:r w:rsidRPr="009A775F">
        <w:rPr>
          <w:rFonts w:ascii="Verdana" w:hAnsi="Verdana" w:cs="Arial"/>
          <w:sz w:val="20"/>
          <w:szCs w:val="20"/>
          <w:lang w:val="es-ES"/>
        </w:rPr>
        <w:t xml:space="preserve"> un </w:t>
      </w:r>
      <w:proofErr w:type="spellStart"/>
      <w:r w:rsidRPr="009A775F">
        <w:rPr>
          <w:rFonts w:ascii="Verdana" w:hAnsi="Verdana" w:cs="Arial"/>
          <w:sz w:val="20"/>
          <w:szCs w:val="20"/>
          <w:lang w:val="es-ES"/>
        </w:rPr>
        <w:t>subregistro</w:t>
      </w:r>
      <w:proofErr w:type="spellEnd"/>
      <w:r w:rsidRPr="009A775F">
        <w:rPr>
          <w:rFonts w:ascii="Verdana" w:hAnsi="Verdana" w:cs="Arial"/>
          <w:sz w:val="20"/>
          <w:szCs w:val="20"/>
          <w:lang w:val="es-ES"/>
        </w:rPr>
        <w:t xml:space="preserve">  de reacciones </w:t>
      </w:r>
      <w:proofErr w:type="spellStart"/>
      <w:r w:rsidRPr="009A775F">
        <w:rPr>
          <w:rFonts w:ascii="Verdana" w:hAnsi="Verdana" w:cs="Arial"/>
          <w:sz w:val="20"/>
          <w:szCs w:val="20"/>
          <w:lang w:val="es-ES"/>
        </w:rPr>
        <w:t>postransfunsionales</w:t>
      </w:r>
      <w:proofErr w:type="spellEnd"/>
      <w:r w:rsidRPr="009A775F">
        <w:rPr>
          <w:rFonts w:ascii="Verdana" w:hAnsi="Verdana" w:cs="Arial"/>
          <w:sz w:val="20"/>
          <w:szCs w:val="20"/>
          <w:lang w:val="es-ES"/>
        </w:rPr>
        <w:t xml:space="preserve">  duran</w:t>
      </w:r>
      <w:r w:rsidR="001B5D65" w:rsidRPr="009A775F">
        <w:rPr>
          <w:rFonts w:ascii="Verdana" w:hAnsi="Verdana" w:cs="Arial"/>
          <w:sz w:val="20"/>
          <w:szCs w:val="20"/>
          <w:lang w:val="es-ES"/>
        </w:rPr>
        <w:t xml:space="preserve">te el año 2014 debido </w:t>
      </w:r>
      <w:r w:rsidRPr="009A775F">
        <w:rPr>
          <w:rFonts w:ascii="Verdana" w:hAnsi="Verdana" w:cs="Arial"/>
          <w:sz w:val="20"/>
          <w:szCs w:val="20"/>
          <w:lang w:val="es-ES"/>
        </w:rPr>
        <w:t xml:space="preserve"> a la no notificación </w:t>
      </w:r>
      <w:r w:rsidR="0083363D" w:rsidRPr="009A775F">
        <w:rPr>
          <w:rFonts w:ascii="Verdana" w:hAnsi="Verdana" w:cs="Arial"/>
          <w:sz w:val="20"/>
          <w:szCs w:val="20"/>
          <w:lang w:val="es-ES"/>
        </w:rPr>
        <w:t>al</w:t>
      </w:r>
      <w:r w:rsidRPr="009A775F">
        <w:rPr>
          <w:rFonts w:ascii="Verdana" w:hAnsi="Verdana" w:cs="Arial"/>
          <w:sz w:val="20"/>
          <w:szCs w:val="20"/>
          <w:lang w:val="es-ES"/>
        </w:rPr>
        <w:t xml:space="preserve"> </w:t>
      </w:r>
      <w:r w:rsidR="001B5D65" w:rsidRPr="009A775F">
        <w:rPr>
          <w:rFonts w:ascii="Verdana" w:hAnsi="Verdana" w:cs="Arial"/>
          <w:sz w:val="20"/>
          <w:szCs w:val="20"/>
          <w:lang w:val="es-ES"/>
        </w:rPr>
        <w:t>Servicio de T</w:t>
      </w:r>
      <w:r w:rsidR="0083363D" w:rsidRPr="009A775F">
        <w:rPr>
          <w:rFonts w:ascii="Verdana" w:hAnsi="Verdana" w:cs="Arial"/>
          <w:sz w:val="20"/>
          <w:szCs w:val="20"/>
          <w:lang w:val="es-ES"/>
        </w:rPr>
        <w:t>ransfusiones</w:t>
      </w:r>
      <w:r w:rsidRPr="009A775F">
        <w:rPr>
          <w:rFonts w:ascii="Verdana" w:hAnsi="Verdana" w:cs="Arial"/>
          <w:sz w:val="20"/>
          <w:szCs w:val="20"/>
          <w:lang w:val="es-ES"/>
        </w:rPr>
        <w:t xml:space="preserve"> o a la no</w:t>
      </w:r>
      <w:r w:rsidR="0083363D" w:rsidRPr="009A775F">
        <w:rPr>
          <w:rFonts w:ascii="Verdana" w:hAnsi="Verdana" w:cs="Arial"/>
          <w:sz w:val="20"/>
          <w:szCs w:val="20"/>
          <w:lang w:val="es-ES"/>
        </w:rPr>
        <w:t xml:space="preserve"> identificación de la reacción, </w:t>
      </w:r>
      <w:r w:rsidRPr="009A775F">
        <w:rPr>
          <w:rFonts w:ascii="Verdana" w:hAnsi="Verdana" w:cs="Arial"/>
          <w:sz w:val="20"/>
          <w:szCs w:val="20"/>
          <w:lang w:val="es-ES"/>
        </w:rPr>
        <w:t xml:space="preserve">situación </w:t>
      </w:r>
      <w:r w:rsidR="0083363D" w:rsidRPr="009A775F">
        <w:rPr>
          <w:rFonts w:ascii="Verdana" w:hAnsi="Verdana" w:cs="Arial"/>
          <w:sz w:val="20"/>
          <w:szCs w:val="20"/>
          <w:lang w:val="es-ES"/>
        </w:rPr>
        <w:t>está</w:t>
      </w:r>
      <w:r w:rsidRPr="009A775F">
        <w:rPr>
          <w:rFonts w:ascii="Verdana" w:hAnsi="Verdana" w:cs="Arial"/>
          <w:sz w:val="20"/>
          <w:szCs w:val="20"/>
          <w:lang w:val="es-ES"/>
        </w:rPr>
        <w:t xml:space="preserve"> que se comporta muy similar tanto en </w:t>
      </w:r>
      <w:r w:rsidR="004805E0" w:rsidRPr="009A775F">
        <w:rPr>
          <w:rFonts w:ascii="Verdana" w:hAnsi="Verdana" w:cs="Arial"/>
          <w:sz w:val="20"/>
          <w:szCs w:val="20"/>
          <w:lang w:val="es-ES"/>
        </w:rPr>
        <w:t>Cuba como internacionalmente.</w:t>
      </w:r>
      <w:r w:rsidR="00F3553C" w:rsidRPr="009A775F">
        <w:rPr>
          <w:rFonts w:ascii="Verdana" w:hAnsi="Verdana" w:cs="Arial"/>
          <w:sz w:val="20"/>
          <w:szCs w:val="20"/>
          <w:vertAlign w:val="superscript"/>
          <w:lang w:val="es-ES"/>
        </w:rPr>
        <w:t>5</w:t>
      </w:r>
      <w:r w:rsidR="00103630" w:rsidRPr="009A775F">
        <w:rPr>
          <w:rFonts w:ascii="Verdana" w:hAnsi="Verdana" w:cs="Arial"/>
          <w:sz w:val="20"/>
          <w:szCs w:val="20"/>
          <w:vertAlign w:val="superscript"/>
          <w:lang w:val="es-ES"/>
        </w:rPr>
        <w:t>, 21</w:t>
      </w:r>
    </w:p>
    <w:p w:rsidR="00696321" w:rsidRPr="009A775F" w:rsidRDefault="004D417C" w:rsidP="004805E0">
      <w:pPr>
        <w:autoSpaceDE w:val="0"/>
        <w:autoSpaceDN w:val="0"/>
        <w:adjustRightInd w:val="0"/>
        <w:spacing w:after="0" w:line="240" w:lineRule="auto"/>
        <w:jc w:val="both"/>
        <w:rPr>
          <w:rFonts w:ascii="Verdana" w:hAnsi="Verdana"/>
          <w:sz w:val="20"/>
          <w:szCs w:val="20"/>
          <w:lang w:val="es-MX"/>
        </w:rPr>
      </w:pPr>
      <w:r w:rsidRPr="009A775F">
        <w:rPr>
          <w:rFonts w:ascii="Verdana" w:hAnsi="Verdana" w:cs="Arial"/>
          <w:sz w:val="20"/>
          <w:szCs w:val="20"/>
          <w:lang w:val="es-ES"/>
        </w:rPr>
        <w:t xml:space="preserve">Otros estudios cubanos refieren que la cantidad de reacciones </w:t>
      </w:r>
      <w:proofErr w:type="spellStart"/>
      <w:r w:rsidRPr="009A775F">
        <w:rPr>
          <w:rFonts w:ascii="Verdana" w:hAnsi="Verdana" w:cs="Arial"/>
          <w:sz w:val="20"/>
          <w:szCs w:val="20"/>
          <w:lang w:val="es-ES"/>
        </w:rPr>
        <w:t>postransfusionales</w:t>
      </w:r>
      <w:proofErr w:type="spellEnd"/>
      <w:r w:rsidRPr="009A775F">
        <w:rPr>
          <w:rFonts w:ascii="Verdana" w:hAnsi="Verdana" w:cs="Arial"/>
          <w:sz w:val="20"/>
          <w:szCs w:val="20"/>
          <w:lang w:val="es-ES"/>
        </w:rPr>
        <w:t xml:space="preserve"> no guardan relación con el </w:t>
      </w:r>
      <w:r w:rsidR="007731E5" w:rsidRPr="009A775F">
        <w:rPr>
          <w:rFonts w:ascii="Verdana" w:hAnsi="Verdana" w:cs="Arial"/>
          <w:sz w:val="20"/>
          <w:szCs w:val="20"/>
          <w:lang w:val="es-ES"/>
        </w:rPr>
        <w:t>número</w:t>
      </w:r>
      <w:r w:rsidRPr="009A775F">
        <w:rPr>
          <w:rFonts w:ascii="Verdana" w:hAnsi="Verdana" w:cs="Arial"/>
          <w:sz w:val="20"/>
          <w:szCs w:val="20"/>
          <w:lang w:val="es-ES"/>
        </w:rPr>
        <w:t xml:space="preserve"> de unidades de</w:t>
      </w:r>
      <w:r w:rsidR="001B5D65" w:rsidRPr="009A775F">
        <w:rPr>
          <w:rFonts w:ascii="Verdana" w:hAnsi="Verdana" w:cs="Arial"/>
          <w:sz w:val="20"/>
          <w:szCs w:val="20"/>
          <w:lang w:val="es-ES"/>
        </w:rPr>
        <w:t xml:space="preserve"> </w:t>
      </w:r>
      <w:proofErr w:type="spellStart"/>
      <w:r w:rsidR="001B5D65" w:rsidRPr="009A775F">
        <w:rPr>
          <w:rFonts w:ascii="Verdana" w:hAnsi="Verdana" w:cs="Arial"/>
          <w:sz w:val="20"/>
          <w:szCs w:val="20"/>
          <w:lang w:val="es-ES"/>
        </w:rPr>
        <w:t>hemocomponentes</w:t>
      </w:r>
      <w:proofErr w:type="spellEnd"/>
      <w:r w:rsidR="001B5D65" w:rsidRPr="009A775F">
        <w:rPr>
          <w:rFonts w:ascii="Verdana" w:hAnsi="Verdana" w:cs="Arial"/>
          <w:sz w:val="20"/>
          <w:szCs w:val="20"/>
          <w:lang w:val="es-ES"/>
        </w:rPr>
        <w:t xml:space="preserve"> transfundidos.</w:t>
      </w:r>
      <w:r w:rsidR="00103630" w:rsidRPr="009A775F">
        <w:rPr>
          <w:rFonts w:ascii="Verdana" w:hAnsi="Verdana" w:cs="Arial"/>
          <w:sz w:val="20"/>
          <w:szCs w:val="20"/>
          <w:lang w:val="es-ES"/>
        </w:rPr>
        <w:t xml:space="preserve"> </w:t>
      </w:r>
      <w:r w:rsidR="001E6A91" w:rsidRPr="009A775F">
        <w:rPr>
          <w:rFonts w:ascii="Verdana" w:eastAsia="Times New Roman" w:hAnsi="Verdana" w:cs="Times New Roman"/>
          <w:sz w:val="20"/>
          <w:szCs w:val="20"/>
          <w:lang w:val="es-ES" w:eastAsia="es-PR"/>
        </w:rPr>
        <w:t>Los resultados sugieren que existe una omisión en la notificación de las RA en general, y en especial de</w:t>
      </w:r>
      <w:r w:rsidRPr="009A775F">
        <w:rPr>
          <w:rFonts w:ascii="Verdana" w:eastAsia="Times New Roman" w:hAnsi="Verdana" w:cs="Times New Roman"/>
          <w:sz w:val="20"/>
          <w:szCs w:val="20"/>
          <w:lang w:val="es-ES" w:eastAsia="es-PR"/>
        </w:rPr>
        <w:t xml:space="preserve"> las de tipo no inmune</w:t>
      </w:r>
      <w:r w:rsidR="001E6A91" w:rsidRPr="009A775F">
        <w:rPr>
          <w:rFonts w:ascii="Verdana" w:eastAsia="Times New Roman" w:hAnsi="Verdana" w:cs="Times New Roman"/>
          <w:sz w:val="20"/>
          <w:szCs w:val="20"/>
          <w:lang w:val="es-ES" w:eastAsia="es-PR"/>
        </w:rPr>
        <w:t>.</w:t>
      </w:r>
      <w:r w:rsidRPr="009A775F">
        <w:rPr>
          <w:rFonts w:ascii="Verdana" w:eastAsia="Times New Roman" w:hAnsi="Verdana" w:cs="Times New Roman"/>
          <w:sz w:val="20"/>
          <w:szCs w:val="20"/>
          <w:vertAlign w:val="superscript"/>
          <w:lang w:val="es-ES" w:eastAsia="es-PR"/>
        </w:rPr>
        <w:t>10</w:t>
      </w:r>
      <w:r w:rsidR="00975651" w:rsidRPr="009A775F">
        <w:rPr>
          <w:rFonts w:ascii="Verdana" w:eastAsia="Times New Roman" w:hAnsi="Verdana" w:cs="Times New Roman"/>
          <w:sz w:val="20"/>
          <w:szCs w:val="20"/>
          <w:vertAlign w:val="superscript"/>
          <w:lang w:val="es-ES" w:eastAsia="es-PR"/>
        </w:rPr>
        <w:t>, 22</w:t>
      </w:r>
      <w:r w:rsidR="008F51BD" w:rsidRPr="009A775F">
        <w:rPr>
          <w:rFonts w:ascii="Verdana" w:eastAsia="Times New Roman" w:hAnsi="Verdana" w:cs="Times New Roman"/>
          <w:sz w:val="20"/>
          <w:szCs w:val="20"/>
          <w:vertAlign w:val="superscript"/>
          <w:lang w:val="es-ES" w:eastAsia="es-PR"/>
        </w:rPr>
        <w:t xml:space="preserve"> </w:t>
      </w:r>
      <w:r w:rsidR="008F51BD" w:rsidRPr="009A775F">
        <w:rPr>
          <w:rFonts w:ascii="Verdana" w:hAnsi="Verdana"/>
          <w:sz w:val="20"/>
          <w:szCs w:val="20"/>
          <w:lang w:val="es-MX"/>
        </w:rPr>
        <w:t xml:space="preserve">A diferencia con esta investigación el estudio </w:t>
      </w:r>
      <w:r w:rsidR="008F51BD" w:rsidRPr="009A775F">
        <w:rPr>
          <w:rFonts w:ascii="Verdana" w:hAnsi="Verdana"/>
          <w:sz w:val="20"/>
          <w:szCs w:val="20"/>
          <w:vertAlign w:val="superscript"/>
          <w:lang w:val="es-MX"/>
        </w:rPr>
        <w:t xml:space="preserve">23 </w:t>
      </w:r>
      <w:r w:rsidR="008F51BD" w:rsidRPr="009A775F">
        <w:rPr>
          <w:rFonts w:ascii="Verdana" w:hAnsi="Verdana"/>
          <w:sz w:val="20"/>
          <w:szCs w:val="20"/>
          <w:lang w:val="es-MX"/>
        </w:rPr>
        <w:t xml:space="preserve">refiere que  el 50 % de estas de tipo febril y el 50 % alérgicas, pero si coinciden en el tipo que  fueron no hemolíticas inmediatas. </w:t>
      </w:r>
    </w:p>
    <w:p w:rsidR="008F51BD" w:rsidRPr="009A775F" w:rsidRDefault="008F51BD" w:rsidP="004805E0">
      <w:pPr>
        <w:autoSpaceDE w:val="0"/>
        <w:autoSpaceDN w:val="0"/>
        <w:adjustRightInd w:val="0"/>
        <w:spacing w:after="0" w:line="240" w:lineRule="auto"/>
        <w:jc w:val="both"/>
        <w:rPr>
          <w:rFonts w:ascii="Verdana" w:eastAsia="Times New Roman" w:hAnsi="Verdana" w:cs="Times New Roman"/>
          <w:sz w:val="20"/>
          <w:szCs w:val="20"/>
          <w:vertAlign w:val="superscript"/>
          <w:lang w:val="es-ES" w:eastAsia="es-PR"/>
        </w:rPr>
      </w:pPr>
    </w:p>
    <w:p w:rsidR="00696321" w:rsidRPr="009A775F" w:rsidRDefault="00924F2E" w:rsidP="00A425B0">
      <w:pPr>
        <w:spacing w:after="0" w:line="240" w:lineRule="auto"/>
        <w:jc w:val="both"/>
        <w:rPr>
          <w:rFonts w:ascii="Verdana" w:eastAsia="Times New Roman" w:hAnsi="Verdana" w:cs="Times New Roman"/>
          <w:sz w:val="20"/>
          <w:szCs w:val="20"/>
          <w:lang w:val="es-ES" w:eastAsia="es-PR"/>
        </w:rPr>
      </w:pPr>
      <w:r w:rsidRPr="009A775F">
        <w:rPr>
          <w:rFonts w:ascii="Verdana" w:eastAsia="Times New Roman" w:hAnsi="Verdana" w:cs="Times New Roman"/>
          <w:sz w:val="20"/>
          <w:szCs w:val="20"/>
          <w:lang w:val="es-ES" w:eastAsia="es-PR"/>
        </w:rPr>
        <w:t>Estos resultados indican que se debe</w:t>
      </w:r>
      <w:r w:rsidR="00213FB0" w:rsidRPr="009A775F">
        <w:rPr>
          <w:rFonts w:ascii="Verdana" w:eastAsia="Times New Roman" w:hAnsi="Verdana" w:cs="Times New Roman"/>
          <w:sz w:val="20"/>
          <w:szCs w:val="20"/>
          <w:lang w:val="es-ES" w:eastAsia="es-PR"/>
        </w:rPr>
        <w:t>n</w:t>
      </w:r>
      <w:r w:rsidRPr="009A775F">
        <w:rPr>
          <w:rFonts w:ascii="Verdana" w:eastAsia="Times New Roman" w:hAnsi="Verdana" w:cs="Times New Roman"/>
          <w:sz w:val="20"/>
          <w:szCs w:val="20"/>
          <w:lang w:val="es-ES" w:eastAsia="es-PR"/>
        </w:rPr>
        <w:t xml:space="preserve"> </w:t>
      </w:r>
      <w:r w:rsidR="00553415" w:rsidRPr="009A775F">
        <w:rPr>
          <w:rFonts w:ascii="Verdana" w:eastAsia="Times New Roman" w:hAnsi="Verdana" w:cs="Times New Roman"/>
          <w:sz w:val="20"/>
          <w:szCs w:val="20"/>
          <w:lang w:val="es-ES" w:eastAsia="es-PR"/>
        </w:rPr>
        <w:t xml:space="preserve">encaminar los esfuerzos en el uso adecuado de los componentes sanguíneos, valorando la tendencia actual a la senectud y las enfermedades </w:t>
      </w:r>
      <w:proofErr w:type="spellStart"/>
      <w:r w:rsidR="00553415" w:rsidRPr="009A775F">
        <w:rPr>
          <w:rFonts w:ascii="Verdana" w:eastAsia="Times New Roman" w:hAnsi="Verdana" w:cs="Times New Roman"/>
          <w:sz w:val="20"/>
          <w:szCs w:val="20"/>
          <w:lang w:val="es-ES" w:eastAsia="es-PR"/>
        </w:rPr>
        <w:t>oncohematológicas</w:t>
      </w:r>
      <w:proofErr w:type="spellEnd"/>
      <w:r w:rsidR="00553415" w:rsidRPr="009A775F">
        <w:rPr>
          <w:rFonts w:ascii="Verdana" w:eastAsia="Times New Roman" w:hAnsi="Verdana" w:cs="Times New Roman"/>
          <w:sz w:val="20"/>
          <w:szCs w:val="20"/>
          <w:lang w:val="es-ES" w:eastAsia="es-PR"/>
        </w:rPr>
        <w:t>, por supuesto evaluando riesgos y beneficios en cada caso; sabiendo que no estamos exentos de complicacione</w:t>
      </w:r>
      <w:r w:rsidR="004B70CF" w:rsidRPr="009A775F">
        <w:rPr>
          <w:rFonts w:ascii="Verdana" w:eastAsia="Times New Roman" w:hAnsi="Verdana" w:cs="Times New Roman"/>
          <w:sz w:val="20"/>
          <w:szCs w:val="20"/>
          <w:lang w:val="es-ES" w:eastAsia="es-PR"/>
        </w:rPr>
        <w:t>s</w:t>
      </w:r>
      <w:r w:rsidR="00553415" w:rsidRPr="009A775F">
        <w:rPr>
          <w:rFonts w:ascii="Verdana" w:eastAsia="Times New Roman" w:hAnsi="Verdana" w:cs="Times New Roman"/>
          <w:sz w:val="20"/>
          <w:szCs w:val="20"/>
          <w:lang w:val="es-ES" w:eastAsia="es-PR"/>
        </w:rPr>
        <w:t xml:space="preserve">; </w:t>
      </w:r>
      <w:r w:rsidR="004B70CF" w:rsidRPr="009A775F">
        <w:rPr>
          <w:rFonts w:ascii="Verdana" w:eastAsia="Times New Roman" w:hAnsi="Verdana" w:cs="Times New Roman"/>
          <w:sz w:val="20"/>
          <w:szCs w:val="20"/>
          <w:lang w:val="es-ES" w:eastAsia="es-PR"/>
        </w:rPr>
        <w:t>aun</w:t>
      </w:r>
      <w:r w:rsidR="00553415" w:rsidRPr="009A775F">
        <w:rPr>
          <w:rFonts w:ascii="Verdana" w:eastAsia="Times New Roman" w:hAnsi="Verdana" w:cs="Times New Roman"/>
          <w:sz w:val="20"/>
          <w:szCs w:val="20"/>
          <w:lang w:val="es-ES" w:eastAsia="es-PR"/>
        </w:rPr>
        <w:t xml:space="preserve">  cuando se cuente con un </w:t>
      </w:r>
      <w:r w:rsidRPr="009A775F">
        <w:rPr>
          <w:rFonts w:ascii="Verdana" w:eastAsia="Times New Roman" w:hAnsi="Verdana" w:cs="Times New Roman"/>
          <w:sz w:val="20"/>
          <w:szCs w:val="20"/>
          <w:lang w:val="es-ES" w:eastAsia="es-PR"/>
        </w:rPr>
        <w:t>sistema</w:t>
      </w:r>
      <w:r w:rsidR="00553415" w:rsidRPr="009A775F">
        <w:rPr>
          <w:rFonts w:ascii="Verdana" w:eastAsia="Times New Roman" w:hAnsi="Verdana" w:cs="Times New Roman"/>
          <w:sz w:val="20"/>
          <w:szCs w:val="20"/>
          <w:lang w:val="es-ES" w:eastAsia="es-PR"/>
        </w:rPr>
        <w:t xml:space="preserve"> </w:t>
      </w:r>
      <w:r w:rsidRPr="009A775F">
        <w:rPr>
          <w:rFonts w:ascii="Verdana" w:eastAsia="Times New Roman" w:hAnsi="Verdana" w:cs="Times New Roman"/>
          <w:sz w:val="20"/>
          <w:szCs w:val="20"/>
          <w:lang w:val="es-ES" w:eastAsia="es-PR"/>
        </w:rPr>
        <w:t xml:space="preserve"> de </w:t>
      </w:r>
      <w:r w:rsidR="00553415" w:rsidRPr="009A775F">
        <w:rPr>
          <w:rFonts w:ascii="Verdana" w:eastAsia="Times New Roman" w:hAnsi="Verdana" w:cs="Times New Roman"/>
          <w:sz w:val="20"/>
          <w:szCs w:val="20"/>
          <w:lang w:val="es-ES" w:eastAsia="es-PR"/>
        </w:rPr>
        <w:t xml:space="preserve"> </w:t>
      </w:r>
      <w:proofErr w:type="spellStart"/>
      <w:r w:rsidR="00553415" w:rsidRPr="009A775F">
        <w:rPr>
          <w:rFonts w:ascii="Verdana" w:eastAsia="Times New Roman" w:hAnsi="Verdana" w:cs="Times New Roman"/>
          <w:sz w:val="20"/>
          <w:szCs w:val="20"/>
          <w:lang w:val="es-ES" w:eastAsia="es-PR"/>
        </w:rPr>
        <w:t>Hemovigilancia</w:t>
      </w:r>
      <w:proofErr w:type="spellEnd"/>
      <w:r w:rsidR="00553415" w:rsidRPr="009A775F">
        <w:rPr>
          <w:rFonts w:ascii="Verdana" w:eastAsia="Times New Roman" w:hAnsi="Verdana" w:cs="Times New Roman"/>
          <w:sz w:val="20"/>
          <w:szCs w:val="20"/>
          <w:lang w:val="es-ES" w:eastAsia="es-PR"/>
        </w:rPr>
        <w:t xml:space="preserve"> Hospitalaria estricto  </w:t>
      </w:r>
      <w:r w:rsidR="004B70CF" w:rsidRPr="009A775F">
        <w:rPr>
          <w:rFonts w:ascii="Verdana" w:eastAsia="Times New Roman" w:hAnsi="Verdana" w:cs="Times New Roman"/>
          <w:sz w:val="20"/>
          <w:szCs w:val="20"/>
          <w:lang w:val="es-ES" w:eastAsia="es-PR"/>
        </w:rPr>
        <w:t>capaz de realizar un</w:t>
      </w:r>
      <w:r w:rsidR="00553415" w:rsidRPr="009A775F">
        <w:rPr>
          <w:rFonts w:ascii="Verdana" w:eastAsia="Times New Roman" w:hAnsi="Verdana" w:cs="Times New Roman"/>
          <w:sz w:val="20"/>
          <w:szCs w:val="20"/>
          <w:lang w:val="es-ES" w:eastAsia="es-PR"/>
        </w:rPr>
        <w:t xml:space="preserve"> </w:t>
      </w:r>
      <w:r w:rsidRPr="009A775F">
        <w:rPr>
          <w:rFonts w:ascii="Verdana" w:eastAsia="Times New Roman" w:hAnsi="Verdana" w:cs="Times New Roman"/>
          <w:sz w:val="20"/>
          <w:szCs w:val="20"/>
          <w:lang w:val="es-ES" w:eastAsia="es-PR"/>
        </w:rPr>
        <w:t>reporte de las R</w:t>
      </w:r>
      <w:r w:rsidR="004D417C" w:rsidRPr="009A775F">
        <w:rPr>
          <w:rFonts w:ascii="Verdana" w:eastAsia="Times New Roman" w:hAnsi="Verdana" w:cs="Times New Roman"/>
          <w:sz w:val="20"/>
          <w:szCs w:val="20"/>
          <w:lang w:val="es-ES" w:eastAsia="es-PR"/>
        </w:rPr>
        <w:t xml:space="preserve">eacciones </w:t>
      </w:r>
      <w:r w:rsidRPr="009A775F">
        <w:rPr>
          <w:rFonts w:ascii="Verdana" w:eastAsia="Times New Roman" w:hAnsi="Verdana" w:cs="Times New Roman"/>
          <w:sz w:val="20"/>
          <w:szCs w:val="20"/>
          <w:lang w:val="es-ES" w:eastAsia="es-PR"/>
        </w:rPr>
        <w:t>A</w:t>
      </w:r>
      <w:r w:rsidR="00553415" w:rsidRPr="009A775F">
        <w:rPr>
          <w:rFonts w:ascii="Verdana" w:eastAsia="Times New Roman" w:hAnsi="Verdana" w:cs="Times New Roman"/>
          <w:sz w:val="20"/>
          <w:szCs w:val="20"/>
          <w:lang w:val="es-ES" w:eastAsia="es-PR"/>
        </w:rPr>
        <w:t>dversas</w:t>
      </w:r>
      <w:r w:rsidR="004B70CF" w:rsidRPr="009A775F">
        <w:rPr>
          <w:rFonts w:ascii="Verdana" w:eastAsia="Times New Roman" w:hAnsi="Verdana" w:cs="Times New Roman"/>
          <w:sz w:val="20"/>
          <w:szCs w:val="20"/>
          <w:lang w:val="es-ES" w:eastAsia="es-PR"/>
        </w:rPr>
        <w:t>.</w:t>
      </w:r>
    </w:p>
    <w:p w:rsidR="00696321" w:rsidRPr="009A775F" w:rsidRDefault="00696321" w:rsidP="00A425B0">
      <w:pPr>
        <w:spacing w:after="0" w:line="240" w:lineRule="auto"/>
        <w:jc w:val="both"/>
        <w:rPr>
          <w:rFonts w:ascii="Verdana" w:eastAsia="Times New Roman" w:hAnsi="Verdana" w:cs="Times New Roman"/>
          <w:sz w:val="20"/>
          <w:szCs w:val="20"/>
          <w:lang w:val="es-ES" w:eastAsia="es-PR"/>
        </w:rPr>
      </w:pPr>
    </w:p>
    <w:p w:rsidR="00D278AE" w:rsidRPr="009A775F" w:rsidRDefault="00D278AE" w:rsidP="00D278AE">
      <w:pPr>
        <w:spacing w:after="0" w:line="240" w:lineRule="auto"/>
        <w:jc w:val="both"/>
        <w:rPr>
          <w:rFonts w:ascii="Verdana" w:eastAsia="Times New Roman" w:hAnsi="Verdana" w:cs="Times New Roman"/>
          <w:b/>
          <w:sz w:val="20"/>
          <w:szCs w:val="20"/>
          <w:u w:val="single"/>
          <w:lang w:val="es-MX" w:eastAsia="es-PR"/>
        </w:rPr>
      </w:pPr>
      <w:r w:rsidRPr="009A775F">
        <w:rPr>
          <w:rFonts w:ascii="Verdana" w:eastAsia="Times New Roman" w:hAnsi="Verdana" w:cs="Times New Roman"/>
          <w:b/>
          <w:sz w:val="20"/>
          <w:szCs w:val="20"/>
          <w:u w:val="single"/>
          <w:lang w:val="es-MX" w:eastAsia="es-PR"/>
        </w:rPr>
        <w:t>Referencias Bibliográficas</w:t>
      </w: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roofErr w:type="gramStart"/>
      <w:r w:rsidRPr="009A775F">
        <w:rPr>
          <w:rFonts w:ascii="Verdana" w:eastAsia="Times New Roman" w:hAnsi="Verdana" w:cs="Times New Roman"/>
          <w:sz w:val="20"/>
          <w:szCs w:val="20"/>
          <w:lang w:val="es-MX" w:eastAsia="es-PR"/>
        </w:rPr>
        <w:t>1.Naranjo</w:t>
      </w:r>
      <w:proofErr w:type="gramEnd"/>
      <w:r w:rsidRPr="009A775F">
        <w:rPr>
          <w:rFonts w:ascii="Verdana" w:eastAsia="Times New Roman" w:hAnsi="Verdana" w:cs="Times New Roman"/>
          <w:sz w:val="20"/>
          <w:szCs w:val="20"/>
          <w:lang w:val="es-MX" w:eastAsia="es-PR"/>
        </w:rPr>
        <w:t xml:space="preserve"> MD. Evaluación del proceso de Transfusión del Banco de Sangre en el Hospital Metropolitano de Quito durante septiembre del 2008-Agosto del 2009 [Internet]. [</w:t>
      </w:r>
      <w:proofErr w:type="gramStart"/>
      <w:r w:rsidRPr="009A775F">
        <w:rPr>
          <w:rFonts w:ascii="Verdana" w:eastAsia="Times New Roman" w:hAnsi="Verdana" w:cs="Times New Roman"/>
          <w:sz w:val="20"/>
          <w:szCs w:val="20"/>
          <w:lang w:val="es-MX" w:eastAsia="es-PR"/>
        </w:rPr>
        <w:t>citado</w:t>
      </w:r>
      <w:proofErr w:type="gramEnd"/>
      <w:r w:rsidRPr="009A775F">
        <w:rPr>
          <w:rFonts w:ascii="Verdana" w:eastAsia="Times New Roman" w:hAnsi="Verdana" w:cs="Times New Roman"/>
          <w:sz w:val="20"/>
          <w:szCs w:val="20"/>
          <w:lang w:val="es-MX" w:eastAsia="es-PR"/>
        </w:rPr>
        <w:t xml:space="preserve"> 20 Jun 2016]. Disponible en:</w:t>
      </w:r>
      <w:r w:rsidRPr="009A775F">
        <w:rPr>
          <w:rFonts w:ascii="Verdana" w:hAnsi="Verdana"/>
          <w:sz w:val="20"/>
          <w:szCs w:val="20"/>
          <w:lang w:val="es-MX"/>
        </w:rPr>
        <w:t xml:space="preserve"> </w:t>
      </w:r>
      <w:hyperlink r:id="rId13" w:history="1">
        <w:r w:rsidRPr="009A775F">
          <w:rPr>
            <w:rStyle w:val="Hipervnculo"/>
            <w:rFonts w:ascii="Verdana" w:eastAsia="Times New Roman" w:hAnsi="Verdana" w:cs="Times New Roman"/>
            <w:sz w:val="20"/>
            <w:szCs w:val="20"/>
            <w:lang w:val="es-MX" w:eastAsia="es-PR"/>
          </w:rPr>
          <w:t>http://repositorio.usfq.edu.ec/handle/23000/764</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roofErr w:type="gramStart"/>
      <w:r w:rsidRPr="009A775F">
        <w:rPr>
          <w:rFonts w:ascii="Verdana" w:eastAsia="Times New Roman" w:hAnsi="Verdana" w:cs="Times New Roman"/>
          <w:sz w:val="20"/>
          <w:szCs w:val="20"/>
          <w:lang w:eastAsia="es-PR"/>
        </w:rPr>
        <w:t>2.Gammon</w:t>
      </w:r>
      <w:proofErr w:type="gramEnd"/>
      <w:r w:rsidRPr="009A775F">
        <w:rPr>
          <w:rFonts w:ascii="Verdana" w:eastAsia="Times New Roman" w:hAnsi="Verdana" w:cs="Times New Roman"/>
          <w:sz w:val="20"/>
          <w:szCs w:val="20"/>
          <w:lang w:eastAsia="es-PR"/>
        </w:rPr>
        <w:t xml:space="preserve"> HM, Walters JH, Watt A. Developing performance measure for patient blood management. </w:t>
      </w:r>
      <w:proofErr w:type="spellStart"/>
      <w:r w:rsidRPr="009A775F">
        <w:rPr>
          <w:rFonts w:ascii="Verdana" w:eastAsia="Times New Roman" w:hAnsi="Verdana" w:cs="Times New Roman"/>
          <w:sz w:val="20"/>
          <w:szCs w:val="20"/>
          <w:lang w:val="es-MX" w:eastAsia="es-PR"/>
        </w:rPr>
        <w:t>Transfusion</w:t>
      </w:r>
      <w:proofErr w:type="spellEnd"/>
      <w:r w:rsidRPr="009A775F">
        <w:rPr>
          <w:rFonts w:ascii="Verdana" w:eastAsia="Times New Roman" w:hAnsi="Verdana" w:cs="Times New Roman"/>
          <w:sz w:val="20"/>
          <w:szCs w:val="20"/>
          <w:lang w:val="es-MX" w:eastAsia="es-PR"/>
        </w:rPr>
        <w:t xml:space="preserve"> [Internet]. 2011 [citado 20 Jun 2016]; 51(11): 2500–8. Disponible en: </w:t>
      </w:r>
      <w:hyperlink r:id="rId14" w:history="1">
        <w:r w:rsidRPr="009A775F">
          <w:rPr>
            <w:rStyle w:val="Hipervnculo"/>
            <w:rFonts w:ascii="Verdana" w:eastAsia="Times New Roman" w:hAnsi="Verdana" w:cs="Times New Roman"/>
            <w:sz w:val="20"/>
            <w:szCs w:val="20"/>
            <w:lang w:val="es-MX" w:eastAsia="es-PR"/>
          </w:rPr>
          <w:t>http://onlinelibrary.wiley.com/doi/10.1111/j.1537-2995.2011.03406.x/full</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eastAsia="es-PR"/>
        </w:rPr>
      </w:pPr>
      <w:r w:rsidRPr="009A775F">
        <w:rPr>
          <w:rFonts w:ascii="Verdana" w:eastAsia="Times New Roman" w:hAnsi="Verdana" w:cs="Times New Roman"/>
          <w:sz w:val="20"/>
          <w:szCs w:val="20"/>
          <w:lang w:eastAsia="es-PR"/>
        </w:rPr>
        <w:t xml:space="preserve">3. Carson </w:t>
      </w:r>
      <w:proofErr w:type="spellStart"/>
      <w:r w:rsidRPr="009A775F">
        <w:rPr>
          <w:rFonts w:ascii="Verdana" w:eastAsia="Times New Roman" w:hAnsi="Verdana" w:cs="Times New Roman"/>
          <w:sz w:val="20"/>
          <w:szCs w:val="20"/>
          <w:lang w:eastAsia="es-PR"/>
        </w:rPr>
        <w:t>Jl</w:t>
      </w:r>
      <w:proofErr w:type="spellEnd"/>
      <w:r w:rsidRPr="009A775F">
        <w:rPr>
          <w:rFonts w:ascii="Verdana" w:eastAsia="Times New Roman" w:hAnsi="Verdana" w:cs="Times New Roman"/>
          <w:sz w:val="20"/>
          <w:szCs w:val="20"/>
          <w:lang w:eastAsia="es-PR"/>
        </w:rPr>
        <w:t xml:space="preserve">, Grossman BJ, </w:t>
      </w:r>
      <w:proofErr w:type="spellStart"/>
      <w:r w:rsidRPr="009A775F">
        <w:rPr>
          <w:rFonts w:ascii="Verdana" w:eastAsia="Times New Roman" w:hAnsi="Verdana" w:cs="Times New Roman"/>
          <w:sz w:val="20"/>
          <w:szCs w:val="20"/>
          <w:lang w:eastAsia="es-PR"/>
        </w:rPr>
        <w:t>Kleinman</w:t>
      </w:r>
      <w:proofErr w:type="spellEnd"/>
      <w:r w:rsidRPr="009A775F">
        <w:rPr>
          <w:rFonts w:ascii="Verdana" w:eastAsia="Times New Roman" w:hAnsi="Verdana" w:cs="Times New Roman"/>
          <w:sz w:val="20"/>
          <w:szCs w:val="20"/>
          <w:lang w:eastAsia="es-PR"/>
        </w:rPr>
        <w:t xml:space="preserve"> S, </w:t>
      </w:r>
      <w:proofErr w:type="spellStart"/>
      <w:r w:rsidRPr="009A775F">
        <w:rPr>
          <w:rFonts w:ascii="Verdana" w:eastAsia="Times New Roman" w:hAnsi="Verdana" w:cs="Times New Roman"/>
          <w:sz w:val="20"/>
          <w:szCs w:val="20"/>
          <w:lang w:eastAsia="es-PR"/>
        </w:rPr>
        <w:t>Tinmouth</w:t>
      </w:r>
      <w:proofErr w:type="spellEnd"/>
      <w:r w:rsidRPr="009A775F">
        <w:rPr>
          <w:rFonts w:ascii="Verdana" w:eastAsia="Times New Roman" w:hAnsi="Verdana" w:cs="Times New Roman"/>
          <w:sz w:val="20"/>
          <w:szCs w:val="20"/>
          <w:lang w:eastAsia="es-PR"/>
        </w:rPr>
        <w:t xml:space="preserve"> AT, Marques MB, Fung MK, et al. Red Blood cell </w:t>
      </w:r>
      <w:proofErr w:type="spellStart"/>
      <w:r w:rsidRPr="009A775F">
        <w:rPr>
          <w:rFonts w:ascii="Verdana" w:eastAsia="Times New Roman" w:hAnsi="Verdana" w:cs="Times New Roman"/>
          <w:sz w:val="20"/>
          <w:szCs w:val="20"/>
          <w:lang w:eastAsia="es-PR"/>
        </w:rPr>
        <w:t>transfusión</w:t>
      </w:r>
      <w:proofErr w:type="spellEnd"/>
      <w:r w:rsidRPr="009A775F">
        <w:rPr>
          <w:rFonts w:ascii="Verdana" w:eastAsia="Times New Roman" w:hAnsi="Verdana" w:cs="Times New Roman"/>
          <w:sz w:val="20"/>
          <w:szCs w:val="20"/>
          <w:lang w:eastAsia="es-PR"/>
        </w:rPr>
        <w:t xml:space="preserve">: A Clinical Practice Guideline. </w:t>
      </w:r>
      <w:proofErr w:type="gramStart"/>
      <w:r w:rsidRPr="009A775F">
        <w:rPr>
          <w:rFonts w:ascii="Verdana" w:eastAsia="Times New Roman" w:hAnsi="Verdana" w:cs="Times New Roman"/>
          <w:sz w:val="20"/>
          <w:szCs w:val="20"/>
          <w:lang w:eastAsia="es-PR"/>
        </w:rPr>
        <w:t>From the AABB.</w:t>
      </w:r>
      <w:proofErr w:type="gramEnd"/>
      <w:r w:rsidRPr="009A775F">
        <w:rPr>
          <w:rFonts w:ascii="Verdana" w:eastAsia="Times New Roman" w:hAnsi="Verdana" w:cs="Times New Roman"/>
          <w:sz w:val="20"/>
          <w:szCs w:val="20"/>
          <w:lang w:eastAsia="es-PR"/>
        </w:rPr>
        <w:t xml:space="preserve"> </w:t>
      </w:r>
      <w:proofErr w:type="gramStart"/>
      <w:r w:rsidRPr="009A775F">
        <w:rPr>
          <w:rFonts w:ascii="Verdana" w:eastAsia="Times New Roman" w:hAnsi="Verdana" w:cs="Times New Roman"/>
          <w:sz w:val="20"/>
          <w:szCs w:val="20"/>
          <w:lang w:eastAsia="es-PR"/>
        </w:rPr>
        <w:t>Annals of Internal Medicine [Internet].</w:t>
      </w:r>
      <w:proofErr w:type="gramEnd"/>
      <w:r w:rsidRPr="009A775F">
        <w:rPr>
          <w:rFonts w:ascii="Verdana" w:eastAsia="Times New Roman" w:hAnsi="Verdana" w:cs="Times New Roman"/>
          <w:sz w:val="20"/>
          <w:szCs w:val="20"/>
          <w:lang w:eastAsia="es-PR"/>
        </w:rPr>
        <w:t xml:space="preserve"> </w:t>
      </w:r>
      <w:proofErr w:type="gramStart"/>
      <w:r w:rsidRPr="009A775F">
        <w:rPr>
          <w:rFonts w:ascii="Verdana" w:eastAsia="Times New Roman" w:hAnsi="Verdana" w:cs="Times New Roman"/>
          <w:sz w:val="20"/>
          <w:szCs w:val="20"/>
          <w:lang w:eastAsia="es-PR"/>
        </w:rPr>
        <w:t>2012 [</w:t>
      </w:r>
      <w:proofErr w:type="spellStart"/>
      <w:r w:rsidRPr="009A775F">
        <w:rPr>
          <w:rFonts w:ascii="Verdana" w:eastAsia="Times New Roman" w:hAnsi="Verdana" w:cs="Times New Roman"/>
          <w:sz w:val="20"/>
          <w:szCs w:val="20"/>
          <w:lang w:eastAsia="es-PR"/>
        </w:rPr>
        <w:t>citado</w:t>
      </w:r>
      <w:proofErr w:type="spellEnd"/>
      <w:r w:rsidRPr="009A775F">
        <w:rPr>
          <w:rFonts w:ascii="Verdana" w:eastAsia="Times New Roman" w:hAnsi="Verdana" w:cs="Times New Roman"/>
          <w:sz w:val="20"/>
          <w:szCs w:val="20"/>
          <w:lang w:eastAsia="es-PR"/>
        </w:rPr>
        <w:t xml:space="preserve"> 20 Jun 2016]; 157:49-58.</w:t>
      </w:r>
      <w:proofErr w:type="gramEnd"/>
      <w:r w:rsidRPr="009A775F">
        <w:rPr>
          <w:rFonts w:ascii="Verdana" w:eastAsia="Times New Roman" w:hAnsi="Verdana" w:cs="Times New Roman"/>
          <w:sz w:val="20"/>
          <w:szCs w:val="20"/>
          <w:lang w:eastAsia="es-PR"/>
        </w:rPr>
        <w:t xml:space="preserve"> </w:t>
      </w:r>
      <w:proofErr w:type="spellStart"/>
      <w:r w:rsidRPr="009A775F">
        <w:rPr>
          <w:rFonts w:ascii="Verdana" w:eastAsia="Times New Roman" w:hAnsi="Verdana" w:cs="Times New Roman"/>
          <w:sz w:val="20"/>
          <w:szCs w:val="20"/>
          <w:lang w:eastAsia="es-PR"/>
        </w:rPr>
        <w:t>Disponible</w:t>
      </w:r>
      <w:proofErr w:type="spellEnd"/>
      <w:r w:rsidRPr="009A775F">
        <w:rPr>
          <w:rFonts w:ascii="Verdana" w:eastAsia="Times New Roman" w:hAnsi="Verdana" w:cs="Times New Roman"/>
          <w:sz w:val="20"/>
          <w:szCs w:val="20"/>
          <w:lang w:eastAsia="es-PR"/>
        </w:rPr>
        <w:t xml:space="preserve"> en: </w:t>
      </w:r>
      <w:hyperlink r:id="rId15" w:history="1">
        <w:r w:rsidRPr="009A775F">
          <w:rPr>
            <w:rStyle w:val="Hipervnculo"/>
            <w:rFonts w:ascii="Verdana" w:eastAsia="Times New Roman" w:hAnsi="Verdana" w:cs="Times New Roman"/>
            <w:sz w:val="20"/>
            <w:szCs w:val="20"/>
            <w:lang w:eastAsia="es-PR"/>
          </w:rPr>
          <w:t>http://annals.org/article.aspx?articleid=1206681</w:t>
        </w:r>
      </w:hyperlink>
    </w:p>
    <w:p w:rsidR="00D278AE" w:rsidRPr="009A775F" w:rsidRDefault="00D278AE" w:rsidP="00D278AE">
      <w:pPr>
        <w:spacing w:after="0" w:line="240" w:lineRule="auto"/>
        <w:jc w:val="both"/>
        <w:rPr>
          <w:rFonts w:ascii="Verdana" w:eastAsia="Times New Roman" w:hAnsi="Verdana" w:cs="Times New Roman"/>
          <w:sz w:val="20"/>
          <w:szCs w:val="20"/>
          <w:lang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roofErr w:type="gramStart"/>
      <w:r w:rsidRPr="009A775F">
        <w:rPr>
          <w:rFonts w:ascii="Verdana" w:eastAsia="Times New Roman" w:hAnsi="Verdana" w:cs="Times New Roman"/>
          <w:sz w:val="20"/>
          <w:szCs w:val="20"/>
          <w:lang w:eastAsia="es-PR"/>
        </w:rPr>
        <w:t>4.Silva</w:t>
      </w:r>
      <w:proofErr w:type="gramEnd"/>
      <w:r w:rsidRPr="009A775F">
        <w:rPr>
          <w:rFonts w:ascii="Verdana" w:eastAsia="Times New Roman" w:hAnsi="Verdana" w:cs="Times New Roman"/>
          <w:sz w:val="20"/>
          <w:szCs w:val="20"/>
          <w:lang w:eastAsia="es-PR"/>
        </w:rPr>
        <w:t xml:space="preserve"> HM,  </w:t>
      </w:r>
      <w:proofErr w:type="spellStart"/>
      <w:r w:rsidRPr="009A775F">
        <w:rPr>
          <w:rFonts w:ascii="Verdana" w:eastAsia="Times New Roman" w:hAnsi="Verdana" w:cs="Times New Roman"/>
          <w:sz w:val="20"/>
          <w:szCs w:val="20"/>
          <w:lang w:eastAsia="es-PR"/>
        </w:rPr>
        <w:t>Bencomo</w:t>
      </w:r>
      <w:proofErr w:type="spellEnd"/>
      <w:r w:rsidRPr="009A775F">
        <w:rPr>
          <w:rFonts w:ascii="Verdana" w:eastAsia="Times New Roman" w:hAnsi="Verdana" w:cs="Times New Roman"/>
          <w:sz w:val="20"/>
          <w:szCs w:val="20"/>
          <w:lang w:eastAsia="es-PR"/>
        </w:rPr>
        <w:t xml:space="preserve"> AA, </w:t>
      </w:r>
      <w:proofErr w:type="spellStart"/>
      <w:r w:rsidRPr="009A775F">
        <w:rPr>
          <w:rFonts w:ascii="Verdana" w:eastAsia="Times New Roman" w:hAnsi="Verdana" w:cs="Times New Roman"/>
          <w:sz w:val="20"/>
          <w:szCs w:val="20"/>
          <w:lang w:eastAsia="es-PR"/>
        </w:rPr>
        <w:t>López</w:t>
      </w:r>
      <w:proofErr w:type="spellEnd"/>
      <w:r w:rsidRPr="009A775F">
        <w:rPr>
          <w:rFonts w:ascii="Verdana" w:eastAsia="Times New Roman" w:hAnsi="Verdana" w:cs="Times New Roman"/>
          <w:sz w:val="20"/>
          <w:szCs w:val="20"/>
          <w:lang w:eastAsia="es-PR"/>
        </w:rPr>
        <w:t xml:space="preserve"> R, Benet  M, </w:t>
      </w:r>
      <w:proofErr w:type="spellStart"/>
      <w:r w:rsidRPr="009A775F">
        <w:rPr>
          <w:rFonts w:ascii="Verdana" w:eastAsia="Times New Roman" w:hAnsi="Verdana" w:cs="Times New Roman"/>
          <w:sz w:val="20"/>
          <w:szCs w:val="20"/>
          <w:lang w:eastAsia="es-PR"/>
        </w:rPr>
        <w:t>Ballester</w:t>
      </w:r>
      <w:proofErr w:type="spellEnd"/>
      <w:r w:rsidRPr="009A775F">
        <w:rPr>
          <w:rFonts w:ascii="Verdana" w:eastAsia="Times New Roman" w:hAnsi="Verdana" w:cs="Times New Roman"/>
          <w:sz w:val="20"/>
          <w:szCs w:val="20"/>
          <w:lang w:eastAsia="es-PR"/>
        </w:rPr>
        <w:t xml:space="preserve"> JM. </w:t>
      </w:r>
      <w:r w:rsidRPr="009A775F">
        <w:rPr>
          <w:rFonts w:ascii="Verdana" w:eastAsia="Times New Roman" w:hAnsi="Verdana" w:cs="Times New Roman"/>
          <w:sz w:val="20"/>
          <w:szCs w:val="20"/>
          <w:lang w:val="es-MX" w:eastAsia="es-PR"/>
        </w:rPr>
        <w:t xml:space="preserve">La </w:t>
      </w:r>
      <w:proofErr w:type="spellStart"/>
      <w:r w:rsidRPr="009A775F">
        <w:rPr>
          <w:rFonts w:ascii="Verdana" w:eastAsia="Times New Roman" w:hAnsi="Verdana" w:cs="Times New Roman"/>
          <w:sz w:val="20"/>
          <w:szCs w:val="20"/>
          <w:lang w:val="es-MX" w:eastAsia="es-PR"/>
        </w:rPr>
        <w:t>hemovigilancia</w:t>
      </w:r>
      <w:proofErr w:type="spellEnd"/>
      <w:r w:rsidRPr="009A775F">
        <w:rPr>
          <w:rFonts w:ascii="Verdana" w:eastAsia="Times New Roman" w:hAnsi="Verdana" w:cs="Times New Roman"/>
          <w:sz w:val="20"/>
          <w:szCs w:val="20"/>
          <w:lang w:val="es-MX" w:eastAsia="es-PR"/>
        </w:rPr>
        <w:t xml:space="preserve"> de las reacciones adversas a la donación de sangre.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Cubana </w:t>
      </w:r>
      <w:proofErr w:type="spellStart"/>
      <w:r w:rsidRPr="009A775F">
        <w:rPr>
          <w:rFonts w:ascii="Verdana" w:eastAsia="Times New Roman" w:hAnsi="Verdana" w:cs="Times New Roman"/>
          <w:sz w:val="20"/>
          <w:szCs w:val="20"/>
          <w:lang w:val="es-MX" w:eastAsia="es-PR"/>
        </w:rPr>
        <w:t>Hematol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Inmunol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Hemoter</w:t>
      </w:r>
      <w:proofErr w:type="spellEnd"/>
      <w:r w:rsidRPr="009A775F">
        <w:rPr>
          <w:rFonts w:ascii="Verdana" w:eastAsia="Times New Roman" w:hAnsi="Verdana" w:cs="Times New Roman"/>
          <w:sz w:val="20"/>
          <w:szCs w:val="20"/>
          <w:lang w:val="es-MX" w:eastAsia="es-PR"/>
        </w:rPr>
        <w:t xml:space="preserve"> [Internet]. 2013 [citado 20 Jun 2016]; 29(2)</w:t>
      </w:r>
      <w:proofErr w:type="gramStart"/>
      <w:r w:rsidRPr="009A775F">
        <w:rPr>
          <w:rFonts w:ascii="Verdana" w:eastAsia="Times New Roman" w:hAnsi="Verdana" w:cs="Times New Roman"/>
          <w:sz w:val="20"/>
          <w:szCs w:val="20"/>
          <w:lang w:val="es-MX" w:eastAsia="es-PR"/>
        </w:rPr>
        <w:t>:.</w:t>
      </w:r>
      <w:proofErr w:type="gramEnd"/>
      <w:r w:rsidRPr="009A775F">
        <w:rPr>
          <w:rFonts w:ascii="Verdana" w:eastAsia="Times New Roman" w:hAnsi="Verdana" w:cs="Times New Roman"/>
          <w:sz w:val="20"/>
          <w:szCs w:val="20"/>
          <w:lang w:val="es-MX" w:eastAsia="es-PR"/>
        </w:rPr>
        <w:t xml:space="preserve"> Disponible en:</w:t>
      </w:r>
      <w:r w:rsidRPr="009A775F">
        <w:rPr>
          <w:rFonts w:ascii="Verdana" w:hAnsi="Verdana"/>
          <w:sz w:val="20"/>
          <w:szCs w:val="20"/>
          <w:lang w:val="es-MX"/>
        </w:rPr>
        <w:t xml:space="preserve"> </w:t>
      </w:r>
      <w:hyperlink r:id="rId16" w:history="1">
        <w:r w:rsidRPr="009A775F">
          <w:rPr>
            <w:rStyle w:val="Hipervnculo"/>
            <w:rFonts w:ascii="Verdana" w:eastAsia="Times New Roman" w:hAnsi="Verdana" w:cs="Times New Roman"/>
            <w:sz w:val="20"/>
            <w:szCs w:val="20"/>
            <w:lang w:val="es-MX" w:eastAsia="es-PR"/>
          </w:rPr>
          <w:t>http://scielo.sld.cu/scielo.php?script=sci_arttext&amp;pid=S0864-02892013000200006</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roofErr w:type="gramStart"/>
      <w:r w:rsidRPr="009A775F">
        <w:rPr>
          <w:rFonts w:ascii="Verdana" w:eastAsia="Times New Roman" w:hAnsi="Verdana" w:cs="Times New Roman"/>
          <w:sz w:val="20"/>
          <w:szCs w:val="20"/>
          <w:lang w:val="es-MX" w:eastAsia="es-PR"/>
        </w:rPr>
        <w:lastRenderedPageBreak/>
        <w:t>5.Gil</w:t>
      </w:r>
      <w:proofErr w:type="gramEnd"/>
      <w:r w:rsidRPr="009A775F">
        <w:rPr>
          <w:rFonts w:ascii="Verdana" w:eastAsia="Times New Roman" w:hAnsi="Verdana" w:cs="Times New Roman"/>
          <w:sz w:val="20"/>
          <w:szCs w:val="20"/>
          <w:lang w:val="es-MX" w:eastAsia="es-PR"/>
        </w:rPr>
        <w:t xml:space="preserve"> M, García A, Romero A, Arias L, </w:t>
      </w:r>
      <w:proofErr w:type="spellStart"/>
      <w:r w:rsidRPr="009A775F">
        <w:rPr>
          <w:rFonts w:ascii="Verdana" w:eastAsia="Times New Roman" w:hAnsi="Verdana" w:cs="Times New Roman"/>
          <w:sz w:val="20"/>
          <w:szCs w:val="20"/>
          <w:lang w:val="es-MX" w:eastAsia="es-PR"/>
        </w:rPr>
        <w:t>Prevot</w:t>
      </w:r>
      <w:proofErr w:type="spellEnd"/>
      <w:r w:rsidRPr="009A775F">
        <w:rPr>
          <w:rFonts w:ascii="Verdana" w:eastAsia="Times New Roman" w:hAnsi="Verdana" w:cs="Times New Roman"/>
          <w:sz w:val="20"/>
          <w:szCs w:val="20"/>
          <w:lang w:val="es-MX" w:eastAsia="es-PR"/>
        </w:rPr>
        <w:t xml:space="preserve"> V, </w:t>
      </w:r>
      <w:proofErr w:type="spellStart"/>
      <w:r w:rsidRPr="009A775F">
        <w:rPr>
          <w:rFonts w:ascii="Verdana" w:eastAsia="Times New Roman" w:hAnsi="Verdana" w:cs="Times New Roman"/>
          <w:sz w:val="20"/>
          <w:szCs w:val="20"/>
          <w:lang w:val="es-MX" w:eastAsia="es-PR"/>
        </w:rPr>
        <w:t>Sorá</w:t>
      </w:r>
      <w:proofErr w:type="spellEnd"/>
      <w:r w:rsidRPr="009A775F">
        <w:rPr>
          <w:rFonts w:ascii="Verdana" w:eastAsia="Times New Roman" w:hAnsi="Verdana" w:cs="Times New Roman"/>
          <w:sz w:val="20"/>
          <w:szCs w:val="20"/>
          <w:lang w:val="es-MX" w:eastAsia="es-PR"/>
        </w:rPr>
        <w:t xml:space="preserve"> D. Epidemiología de las transfusiones en el Hospital Militar Central “Dr. Carlos J. </w:t>
      </w:r>
      <w:proofErr w:type="spellStart"/>
      <w:r w:rsidRPr="009A775F">
        <w:rPr>
          <w:rFonts w:ascii="Verdana" w:eastAsia="Times New Roman" w:hAnsi="Verdana" w:cs="Times New Roman"/>
          <w:sz w:val="20"/>
          <w:szCs w:val="20"/>
          <w:lang w:val="es-MX" w:eastAsia="es-PR"/>
        </w:rPr>
        <w:t>Finlay</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Cubana </w:t>
      </w:r>
      <w:proofErr w:type="spellStart"/>
      <w:r w:rsidRPr="009A775F">
        <w:rPr>
          <w:rFonts w:ascii="Verdana" w:eastAsia="Times New Roman" w:hAnsi="Verdana" w:cs="Times New Roman"/>
          <w:sz w:val="20"/>
          <w:szCs w:val="20"/>
          <w:lang w:val="es-MX" w:eastAsia="es-PR"/>
        </w:rPr>
        <w:t>Hematol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Inmunol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Hemoter</w:t>
      </w:r>
      <w:proofErr w:type="spellEnd"/>
      <w:r w:rsidRPr="009A775F">
        <w:rPr>
          <w:rFonts w:ascii="Verdana" w:eastAsia="Times New Roman" w:hAnsi="Verdana" w:cs="Times New Roman"/>
          <w:sz w:val="20"/>
          <w:szCs w:val="20"/>
          <w:lang w:val="es-MX" w:eastAsia="es-PR"/>
        </w:rPr>
        <w:t xml:space="preserve"> [Internet]. 2014 [citado 20 Jun 2016]; 31(4)</w:t>
      </w:r>
      <w:proofErr w:type="gramStart"/>
      <w:r w:rsidRPr="009A775F">
        <w:rPr>
          <w:rFonts w:ascii="Verdana" w:eastAsia="Times New Roman" w:hAnsi="Verdana" w:cs="Times New Roman"/>
          <w:sz w:val="20"/>
          <w:szCs w:val="20"/>
          <w:lang w:val="es-MX" w:eastAsia="es-PR"/>
        </w:rPr>
        <w:t>:.</w:t>
      </w:r>
      <w:proofErr w:type="gramEnd"/>
      <w:r w:rsidRPr="009A775F">
        <w:rPr>
          <w:rFonts w:ascii="Verdana" w:eastAsia="Times New Roman" w:hAnsi="Verdana" w:cs="Times New Roman"/>
          <w:sz w:val="20"/>
          <w:szCs w:val="20"/>
          <w:lang w:val="es-MX" w:eastAsia="es-PR"/>
        </w:rPr>
        <w:t xml:space="preserve"> Disponible en: </w:t>
      </w:r>
      <w:hyperlink r:id="rId17" w:history="1">
        <w:r w:rsidRPr="009A775F">
          <w:rPr>
            <w:rStyle w:val="Hipervnculo"/>
            <w:rFonts w:ascii="Verdana" w:eastAsia="Times New Roman" w:hAnsi="Verdana" w:cs="Times New Roman"/>
            <w:sz w:val="20"/>
            <w:szCs w:val="20"/>
            <w:lang w:val="es-MX" w:eastAsia="es-PR"/>
          </w:rPr>
          <w:t>http://scielo.sld.cu/scielo.php?script=sci_arttext&amp;pid=S0864-02892015000400012</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 xml:space="preserve">6. Pérez Ulloa LE, Rubio </w:t>
      </w:r>
      <w:proofErr w:type="spellStart"/>
      <w:r w:rsidRPr="009A775F">
        <w:rPr>
          <w:rFonts w:ascii="Verdana" w:eastAsia="Times New Roman" w:hAnsi="Verdana" w:cs="Times New Roman"/>
          <w:sz w:val="20"/>
          <w:szCs w:val="20"/>
          <w:lang w:val="es-MX" w:eastAsia="es-PR"/>
        </w:rPr>
        <w:t>Rubio</w:t>
      </w:r>
      <w:proofErr w:type="spellEnd"/>
      <w:r w:rsidRPr="009A775F">
        <w:rPr>
          <w:rFonts w:ascii="Verdana" w:eastAsia="Times New Roman" w:hAnsi="Verdana" w:cs="Times New Roman"/>
          <w:sz w:val="20"/>
          <w:szCs w:val="20"/>
          <w:lang w:val="es-MX" w:eastAsia="es-PR"/>
        </w:rPr>
        <w:t xml:space="preserve"> R, Suárez Escandón A, Cádiz </w:t>
      </w:r>
      <w:proofErr w:type="spellStart"/>
      <w:r w:rsidRPr="009A775F">
        <w:rPr>
          <w:rFonts w:ascii="Verdana" w:eastAsia="Times New Roman" w:hAnsi="Verdana" w:cs="Times New Roman"/>
          <w:sz w:val="20"/>
          <w:szCs w:val="20"/>
          <w:lang w:val="es-MX" w:eastAsia="es-PR"/>
        </w:rPr>
        <w:t>Lahens</w:t>
      </w:r>
      <w:proofErr w:type="spellEnd"/>
      <w:r w:rsidRPr="009A775F">
        <w:rPr>
          <w:rFonts w:ascii="Verdana" w:eastAsia="Times New Roman" w:hAnsi="Verdana" w:cs="Times New Roman"/>
          <w:sz w:val="20"/>
          <w:szCs w:val="20"/>
          <w:lang w:val="es-MX" w:eastAsia="es-PR"/>
        </w:rPr>
        <w:t xml:space="preserve"> A, Ballester </w:t>
      </w:r>
      <w:proofErr w:type="spellStart"/>
      <w:r w:rsidRPr="009A775F">
        <w:rPr>
          <w:rFonts w:ascii="Verdana" w:eastAsia="Times New Roman" w:hAnsi="Verdana" w:cs="Times New Roman"/>
          <w:sz w:val="20"/>
          <w:szCs w:val="20"/>
          <w:lang w:val="es-MX" w:eastAsia="es-PR"/>
        </w:rPr>
        <w:t>Santovenia</w:t>
      </w:r>
      <w:proofErr w:type="spellEnd"/>
      <w:r w:rsidRPr="009A775F">
        <w:rPr>
          <w:rFonts w:ascii="Verdana" w:eastAsia="Times New Roman" w:hAnsi="Verdana" w:cs="Times New Roman"/>
          <w:sz w:val="20"/>
          <w:szCs w:val="20"/>
          <w:lang w:val="es-MX" w:eastAsia="es-PR"/>
        </w:rPr>
        <w:t xml:space="preserve"> JM. Breve análisis del comportamiento de la hemoterapia en Cuba en el año 2011.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Cubana </w:t>
      </w:r>
      <w:proofErr w:type="spellStart"/>
      <w:r w:rsidRPr="009A775F">
        <w:rPr>
          <w:rFonts w:ascii="Verdana" w:eastAsia="Times New Roman" w:hAnsi="Verdana" w:cs="Times New Roman"/>
          <w:sz w:val="20"/>
          <w:szCs w:val="20"/>
          <w:lang w:val="es-MX" w:eastAsia="es-PR"/>
        </w:rPr>
        <w:t>Hematol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Inmunol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Hemoter</w:t>
      </w:r>
      <w:proofErr w:type="spellEnd"/>
      <w:r w:rsidRPr="009A775F">
        <w:rPr>
          <w:rFonts w:ascii="Verdana" w:eastAsia="Times New Roman" w:hAnsi="Verdana" w:cs="Times New Roman"/>
          <w:sz w:val="20"/>
          <w:szCs w:val="20"/>
          <w:lang w:val="es-MX" w:eastAsia="es-PR"/>
        </w:rPr>
        <w:t xml:space="preserve"> [Internet]. 2012 [citado 20 Jun 2016]; 28(4): 435-8. Disponible en:</w:t>
      </w:r>
      <w:r w:rsidRPr="009A775F">
        <w:rPr>
          <w:rFonts w:ascii="Verdana" w:hAnsi="Verdana"/>
          <w:sz w:val="20"/>
          <w:szCs w:val="20"/>
          <w:lang w:val="es-MX"/>
        </w:rPr>
        <w:t xml:space="preserve"> </w:t>
      </w:r>
      <w:hyperlink r:id="rId18" w:history="1">
        <w:r w:rsidRPr="009A775F">
          <w:rPr>
            <w:rStyle w:val="Hipervnculo"/>
            <w:rFonts w:ascii="Verdana" w:eastAsia="Times New Roman" w:hAnsi="Verdana" w:cs="Times New Roman"/>
            <w:sz w:val="20"/>
            <w:szCs w:val="20"/>
            <w:lang w:val="es-MX" w:eastAsia="es-PR"/>
          </w:rPr>
          <w:t>http://scielo.sld.cu/scielo.php?script=sci_arttext&amp;pid=S0864-02892012000400013</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 xml:space="preserve"> </w:t>
      </w: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 xml:space="preserve">7. OPS-OMS. Plan de acción para el acceso universal de sangre segura. Washington DC: OPS; 2014. </w:t>
      </w: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 xml:space="preserve">8. Silva  HM. Programa de </w:t>
      </w:r>
      <w:proofErr w:type="spellStart"/>
      <w:r w:rsidRPr="009A775F">
        <w:rPr>
          <w:rFonts w:ascii="Verdana" w:eastAsia="Times New Roman" w:hAnsi="Verdana" w:cs="Times New Roman"/>
          <w:sz w:val="20"/>
          <w:szCs w:val="20"/>
          <w:lang w:val="es-MX" w:eastAsia="es-PR"/>
        </w:rPr>
        <w:t>hemovigilancia</w:t>
      </w:r>
      <w:proofErr w:type="spellEnd"/>
      <w:r w:rsidRPr="009A775F">
        <w:rPr>
          <w:rFonts w:ascii="Verdana" w:eastAsia="Times New Roman" w:hAnsi="Verdana" w:cs="Times New Roman"/>
          <w:sz w:val="20"/>
          <w:szCs w:val="20"/>
          <w:lang w:val="es-MX" w:eastAsia="es-PR"/>
        </w:rPr>
        <w:t xml:space="preserve"> para los servicios de salud de la Provincia de Matanzas [Tesis]. Villa Clara, Cuba: Universidad de Ciencias Médicas de Villa Clara; 2011. Disponible en:</w:t>
      </w:r>
      <w:r w:rsidRPr="009A775F">
        <w:rPr>
          <w:rFonts w:ascii="Verdana" w:hAnsi="Verdana"/>
          <w:sz w:val="20"/>
          <w:szCs w:val="20"/>
          <w:lang w:val="es-MX"/>
        </w:rPr>
        <w:t xml:space="preserve"> </w:t>
      </w:r>
      <w:hyperlink r:id="rId19" w:history="1">
        <w:r w:rsidRPr="009A775F">
          <w:rPr>
            <w:rStyle w:val="Hipervnculo"/>
            <w:rFonts w:ascii="Verdana" w:eastAsia="Times New Roman" w:hAnsi="Verdana" w:cs="Times New Roman"/>
            <w:sz w:val="20"/>
            <w:szCs w:val="20"/>
            <w:lang w:val="es-MX" w:eastAsia="es-PR"/>
          </w:rPr>
          <w:t>http://tesis.repo.sld.cu/436/</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 xml:space="preserve">9. Delgado MB. Transfusión sanguínea. Uso racional.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Colomb</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Anestesiol</w:t>
      </w:r>
      <w:proofErr w:type="spellEnd"/>
      <w:r w:rsidRPr="009A775F">
        <w:rPr>
          <w:rFonts w:ascii="Verdana" w:eastAsia="Times New Roman" w:hAnsi="Verdana" w:cs="Times New Roman"/>
          <w:sz w:val="20"/>
          <w:szCs w:val="20"/>
          <w:lang w:val="es-MX" w:eastAsia="es-PR"/>
        </w:rPr>
        <w:t xml:space="preserve"> [Internet]. 2012 citado 20 Jun 2016]; 40(4): 247-8. Disponible en: </w:t>
      </w:r>
      <w:hyperlink r:id="rId20" w:history="1">
        <w:r w:rsidRPr="009A775F">
          <w:rPr>
            <w:rStyle w:val="Hipervnculo"/>
            <w:rFonts w:ascii="Verdana" w:eastAsia="Times New Roman" w:hAnsi="Verdana" w:cs="Times New Roman"/>
            <w:sz w:val="20"/>
            <w:szCs w:val="20"/>
            <w:lang w:val="es-MX" w:eastAsia="es-PR"/>
          </w:rPr>
          <w:t>http://www.scielo.org.co/pdf/rca/v40n4/v40n4a01</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hAnsi="Verdana" w:cs="Arial"/>
          <w:sz w:val="20"/>
          <w:szCs w:val="20"/>
          <w:lang w:val="es-MX"/>
        </w:rPr>
      </w:pPr>
      <w:r w:rsidRPr="009A775F">
        <w:rPr>
          <w:rFonts w:ascii="Verdana" w:eastAsia="Times New Roman" w:hAnsi="Verdana" w:cs="Times New Roman"/>
          <w:sz w:val="20"/>
          <w:szCs w:val="20"/>
          <w:lang w:val="es-MX" w:eastAsia="es-PR"/>
        </w:rPr>
        <w:t>10.</w:t>
      </w:r>
      <w:r w:rsidRPr="009A775F">
        <w:rPr>
          <w:rFonts w:ascii="Verdana" w:hAnsi="Verdana" w:cs="Arial"/>
          <w:sz w:val="20"/>
          <w:szCs w:val="20"/>
          <w:lang w:val="es-MX"/>
        </w:rPr>
        <w:t xml:space="preserve"> </w:t>
      </w:r>
      <w:r w:rsidRPr="009A775F">
        <w:rPr>
          <w:rFonts w:ascii="Verdana" w:eastAsia="Times New Roman" w:hAnsi="Verdana" w:cs="Times New Roman"/>
          <w:sz w:val="20"/>
          <w:szCs w:val="20"/>
          <w:lang w:val="es-MX" w:eastAsia="es-PR"/>
        </w:rPr>
        <w:t xml:space="preserve">Martínez A, Rivero RA, Fernández N. Efectos adversos en la cadena transfusional en el Instituto de Hematología e Inmunología. </w:t>
      </w:r>
      <w:proofErr w:type="spellStart"/>
      <w:r w:rsidRPr="009A775F">
        <w:rPr>
          <w:rFonts w:ascii="Verdana" w:hAnsi="Verdana" w:cs="Arial"/>
          <w:sz w:val="20"/>
          <w:szCs w:val="20"/>
          <w:lang w:val="es-MX"/>
        </w:rPr>
        <w:t>Rev</w:t>
      </w:r>
      <w:proofErr w:type="spellEnd"/>
      <w:r w:rsidRPr="009A775F">
        <w:rPr>
          <w:rFonts w:ascii="Verdana" w:hAnsi="Verdana" w:cs="Arial"/>
          <w:sz w:val="20"/>
          <w:szCs w:val="20"/>
          <w:lang w:val="es-MX"/>
        </w:rPr>
        <w:t xml:space="preserve"> Cubana </w:t>
      </w:r>
      <w:proofErr w:type="spellStart"/>
      <w:r w:rsidRPr="009A775F">
        <w:rPr>
          <w:rFonts w:ascii="Verdana" w:hAnsi="Verdana" w:cs="Arial"/>
          <w:sz w:val="20"/>
          <w:szCs w:val="20"/>
          <w:lang w:val="es-MX"/>
        </w:rPr>
        <w:t>Hematol</w:t>
      </w:r>
      <w:proofErr w:type="spellEnd"/>
      <w:r w:rsidRPr="009A775F">
        <w:rPr>
          <w:rFonts w:ascii="Verdana" w:hAnsi="Verdana" w:cs="Arial"/>
          <w:sz w:val="20"/>
          <w:szCs w:val="20"/>
          <w:lang w:val="es-MX"/>
        </w:rPr>
        <w:t xml:space="preserve"> </w:t>
      </w:r>
      <w:proofErr w:type="spellStart"/>
      <w:r w:rsidRPr="009A775F">
        <w:rPr>
          <w:rFonts w:ascii="Verdana" w:hAnsi="Verdana" w:cs="Arial"/>
          <w:sz w:val="20"/>
          <w:szCs w:val="20"/>
          <w:lang w:val="es-MX"/>
        </w:rPr>
        <w:t>Inmunol</w:t>
      </w:r>
      <w:proofErr w:type="spellEnd"/>
      <w:r w:rsidRPr="009A775F">
        <w:rPr>
          <w:rFonts w:ascii="Verdana" w:hAnsi="Verdana" w:cs="Arial"/>
          <w:sz w:val="20"/>
          <w:szCs w:val="20"/>
          <w:lang w:val="es-MX"/>
        </w:rPr>
        <w:t xml:space="preserve"> </w:t>
      </w:r>
      <w:proofErr w:type="spellStart"/>
      <w:r w:rsidRPr="009A775F">
        <w:rPr>
          <w:rFonts w:ascii="Verdana" w:hAnsi="Verdana" w:cs="Arial"/>
          <w:sz w:val="20"/>
          <w:szCs w:val="20"/>
          <w:lang w:val="es-MX"/>
        </w:rPr>
        <w:t>Hemoter</w:t>
      </w:r>
      <w:proofErr w:type="spellEnd"/>
      <w:r w:rsidRPr="009A775F">
        <w:rPr>
          <w:rFonts w:ascii="Verdana" w:hAnsi="Verdana" w:cs="Arial"/>
          <w:sz w:val="20"/>
          <w:szCs w:val="20"/>
          <w:lang w:val="es-MX"/>
        </w:rPr>
        <w:t xml:space="preserve">  [Internet]. 2015  </w:t>
      </w:r>
      <w:proofErr w:type="spellStart"/>
      <w:r w:rsidRPr="009A775F">
        <w:rPr>
          <w:rFonts w:ascii="Verdana" w:hAnsi="Verdana" w:cs="Arial"/>
          <w:sz w:val="20"/>
          <w:szCs w:val="20"/>
          <w:lang w:val="es-MX"/>
        </w:rPr>
        <w:t>Sep</w:t>
      </w:r>
      <w:proofErr w:type="spellEnd"/>
      <w:r w:rsidRPr="009A775F">
        <w:rPr>
          <w:rFonts w:ascii="Verdana" w:hAnsi="Verdana" w:cs="Arial"/>
          <w:sz w:val="20"/>
          <w:szCs w:val="20"/>
          <w:lang w:val="es-MX"/>
        </w:rPr>
        <w:t xml:space="preserve"> [citado 20 Jun 2016]; 31(3): 288-300. Disponible en: </w:t>
      </w:r>
      <w:hyperlink r:id="rId21" w:history="1">
        <w:r w:rsidRPr="009A775F">
          <w:rPr>
            <w:rStyle w:val="Hipervnculo"/>
            <w:rFonts w:ascii="Verdana" w:hAnsi="Verdana" w:cs="Arial"/>
            <w:sz w:val="20"/>
            <w:szCs w:val="20"/>
            <w:lang w:val="es-MX"/>
          </w:rPr>
          <w:t>http://scielo.sld.cu/scielo.php?script=sci_arttext&amp;pid=S0864-02892015000300007&amp;lng=es</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eastAsia="es-PR"/>
        </w:rPr>
        <w:t xml:space="preserve">11. </w:t>
      </w:r>
      <w:proofErr w:type="spellStart"/>
      <w:r w:rsidRPr="009A775F">
        <w:rPr>
          <w:rFonts w:ascii="Verdana" w:eastAsia="Times New Roman" w:hAnsi="Verdana" w:cs="Times New Roman"/>
          <w:sz w:val="20"/>
          <w:szCs w:val="20"/>
          <w:lang w:eastAsia="es-PR"/>
        </w:rPr>
        <w:t>Guralnik</w:t>
      </w:r>
      <w:proofErr w:type="spellEnd"/>
      <w:r w:rsidRPr="009A775F">
        <w:rPr>
          <w:rFonts w:ascii="Verdana" w:eastAsia="Times New Roman" w:hAnsi="Verdana" w:cs="Times New Roman"/>
          <w:sz w:val="20"/>
          <w:szCs w:val="20"/>
          <w:lang w:eastAsia="es-PR"/>
        </w:rPr>
        <w:t xml:space="preserve"> JM, Eisenstaedt RS, </w:t>
      </w:r>
      <w:proofErr w:type="spellStart"/>
      <w:proofErr w:type="gramStart"/>
      <w:r w:rsidRPr="009A775F">
        <w:rPr>
          <w:rFonts w:ascii="Verdana" w:eastAsia="Times New Roman" w:hAnsi="Verdana" w:cs="Times New Roman"/>
          <w:sz w:val="20"/>
          <w:szCs w:val="20"/>
          <w:lang w:eastAsia="es-PR"/>
        </w:rPr>
        <w:t>Ferrucci</w:t>
      </w:r>
      <w:proofErr w:type="spellEnd"/>
      <w:proofErr w:type="gramEnd"/>
      <w:r w:rsidRPr="009A775F">
        <w:rPr>
          <w:rFonts w:ascii="Verdana" w:eastAsia="Times New Roman" w:hAnsi="Verdana" w:cs="Times New Roman"/>
          <w:sz w:val="20"/>
          <w:szCs w:val="20"/>
          <w:lang w:eastAsia="es-PR"/>
        </w:rPr>
        <w:t xml:space="preserve"> L. Prevalence of anemia in persons 65 years and older in the United States: evidence of a high rate of unexplained anemia. </w:t>
      </w:r>
      <w:proofErr w:type="spellStart"/>
      <w:r w:rsidRPr="009A775F">
        <w:rPr>
          <w:rFonts w:ascii="Verdana" w:eastAsia="Times New Roman" w:hAnsi="Verdana" w:cs="Times New Roman"/>
          <w:sz w:val="20"/>
          <w:szCs w:val="20"/>
          <w:lang w:val="es-MX" w:eastAsia="es-PR"/>
        </w:rPr>
        <w:t>Blood</w:t>
      </w:r>
      <w:proofErr w:type="spellEnd"/>
      <w:r w:rsidRPr="009A775F">
        <w:rPr>
          <w:rFonts w:ascii="Verdana" w:eastAsia="Times New Roman" w:hAnsi="Verdana" w:cs="Times New Roman"/>
          <w:sz w:val="20"/>
          <w:szCs w:val="20"/>
          <w:lang w:val="es-MX" w:eastAsia="es-PR"/>
        </w:rPr>
        <w:t xml:space="preserve"> [Internet]. 2004 [citado 20 Jun 2016]; 104:2263–8. Disponible en:</w:t>
      </w:r>
      <w:r w:rsidRPr="009A775F">
        <w:rPr>
          <w:rFonts w:ascii="Verdana" w:hAnsi="Verdana"/>
          <w:sz w:val="20"/>
          <w:szCs w:val="20"/>
          <w:lang w:val="es-MX"/>
        </w:rPr>
        <w:t xml:space="preserve"> </w:t>
      </w:r>
      <w:hyperlink r:id="rId22" w:history="1">
        <w:r w:rsidRPr="009A775F">
          <w:rPr>
            <w:rStyle w:val="Hipervnculo"/>
            <w:rFonts w:ascii="Verdana" w:eastAsia="Times New Roman" w:hAnsi="Verdana" w:cs="Times New Roman"/>
            <w:sz w:val="20"/>
            <w:szCs w:val="20"/>
            <w:lang w:val="es-MX" w:eastAsia="es-PR"/>
          </w:rPr>
          <w:t>http://www.bloodjournal.org/content/104/8/2263.short?sso-checked=true</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eastAsia="es-PR"/>
        </w:rPr>
        <w:t xml:space="preserve">12. </w:t>
      </w:r>
      <w:proofErr w:type="spellStart"/>
      <w:r w:rsidRPr="009A775F">
        <w:rPr>
          <w:rFonts w:ascii="Verdana" w:eastAsia="Times New Roman" w:hAnsi="Verdana" w:cs="Times New Roman"/>
          <w:sz w:val="20"/>
          <w:szCs w:val="20"/>
          <w:lang w:eastAsia="es-PR"/>
        </w:rPr>
        <w:t>Katalinic</w:t>
      </w:r>
      <w:proofErr w:type="spellEnd"/>
      <w:r w:rsidRPr="009A775F">
        <w:rPr>
          <w:rFonts w:ascii="Verdana" w:eastAsia="Times New Roman" w:hAnsi="Verdana" w:cs="Times New Roman"/>
          <w:sz w:val="20"/>
          <w:szCs w:val="20"/>
          <w:lang w:eastAsia="es-PR"/>
        </w:rPr>
        <w:t xml:space="preserve"> A, Peters E, </w:t>
      </w:r>
      <w:proofErr w:type="spellStart"/>
      <w:r w:rsidRPr="009A775F">
        <w:rPr>
          <w:rFonts w:ascii="Verdana" w:eastAsia="Times New Roman" w:hAnsi="Verdana" w:cs="Times New Roman"/>
          <w:sz w:val="20"/>
          <w:szCs w:val="20"/>
          <w:lang w:eastAsia="es-PR"/>
        </w:rPr>
        <w:t>Beske</w:t>
      </w:r>
      <w:proofErr w:type="spellEnd"/>
      <w:r w:rsidRPr="009A775F">
        <w:rPr>
          <w:rFonts w:ascii="Verdana" w:eastAsia="Times New Roman" w:hAnsi="Verdana" w:cs="Times New Roman"/>
          <w:sz w:val="20"/>
          <w:szCs w:val="20"/>
          <w:lang w:eastAsia="es-PR"/>
        </w:rPr>
        <w:t xml:space="preserve"> F. Projection of morbidity 2030 and 2050: impact for the national health system and blood supply. </w:t>
      </w:r>
      <w:proofErr w:type="spellStart"/>
      <w:r w:rsidRPr="009A775F">
        <w:rPr>
          <w:rFonts w:ascii="Verdana" w:eastAsia="Times New Roman" w:hAnsi="Verdana" w:cs="Times New Roman"/>
          <w:sz w:val="20"/>
          <w:szCs w:val="20"/>
          <w:lang w:val="es-MX" w:eastAsia="es-PR"/>
        </w:rPr>
        <w:t>Transfus</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Med</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Hemother</w:t>
      </w:r>
      <w:proofErr w:type="spellEnd"/>
      <w:r w:rsidRPr="009A775F">
        <w:rPr>
          <w:rFonts w:ascii="Verdana" w:eastAsia="Times New Roman" w:hAnsi="Verdana" w:cs="Times New Roman"/>
          <w:sz w:val="20"/>
          <w:szCs w:val="20"/>
          <w:lang w:val="es-MX" w:eastAsia="es-PR"/>
        </w:rPr>
        <w:t xml:space="preserve"> [Internet]. 2010 [citado 20 Jun 2016]; 37:155–9. Disponible en:</w:t>
      </w:r>
      <w:r w:rsidRPr="009A775F">
        <w:rPr>
          <w:rFonts w:ascii="Verdana" w:hAnsi="Verdana"/>
          <w:sz w:val="20"/>
          <w:szCs w:val="20"/>
          <w:lang w:val="es-MX"/>
        </w:rPr>
        <w:t xml:space="preserve"> </w:t>
      </w:r>
      <w:hyperlink r:id="rId23" w:history="1">
        <w:r w:rsidRPr="009A775F">
          <w:rPr>
            <w:rStyle w:val="Hipervnculo"/>
            <w:rFonts w:ascii="Verdana" w:eastAsia="Times New Roman" w:hAnsi="Verdana" w:cs="Times New Roman"/>
            <w:sz w:val="20"/>
            <w:szCs w:val="20"/>
            <w:lang w:val="es-MX" w:eastAsia="es-PR"/>
          </w:rPr>
          <w:t>http://www.karger.com/Article/Abstract/313993</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13. Revelan datos preliminares del Censo de Población y Viviendas 2012. Granma. 2012 Diciembre 7</w:t>
      </w:r>
      <w:proofErr w:type="gramStart"/>
      <w:r w:rsidRPr="009A775F">
        <w:rPr>
          <w:rFonts w:ascii="Verdana" w:eastAsia="Times New Roman" w:hAnsi="Verdana" w:cs="Times New Roman"/>
          <w:sz w:val="20"/>
          <w:szCs w:val="20"/>
          <w:lang w:val="es-MX" w:eastAsia="es-PR"/>
        </w:rPr>
        <w:t>;7:38:14</w:t>
      </w:r>
      <w:proofErr w:type="gramEnd"/>
      <w:r w:rsidRPr="009A775F">
        <w:rPr>
          <w:rFonts w:ascii="Verdana" w:eastAsia="Times New Roman" w:hAnsi="Verdana" w:cs="Times New Roman"/>
          <w:sz w:val="20"/>
          <w:szCs w:val="20"/>
          <w:lang w:val="es-MX" w:eastAsia="es-PR"/>
        </w:rPr>
        <w:t>.</w:t>
      </w: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 xml:space="preserve">14. </w:t>
      </w:r>
      <w:proofErr w:type="spellStart"/>
      <w:r w:rsidRPr="009A775F">
        <w:rPr>
          <w:rFonts w:ascii="Verdana" w:eastAsia="Times New Roman" w:hAnsi="Verdana" w:cs="Times New Roman"/>
          <w:sz w:val="20"/>
          <w:szCs w:val="20"/>
          <w:lang w:val="es-MX" w:eastAsia="es-PR"/>
        </w:rPr>
        <w:t>Perez</w:t>
      </w:r>
      <w:proofErr w:type="spellEnd"/>
      <w:r w:rsidRPr="009A775F">
        <w:rPr>
          <w:rFonts w:ascii="Verdana" w:eastAsia="Times New Roman" w:hAnsi="Verdana" w:cs="Times New Roman"/>
          <w:sz w:val="20"/>
          <w:szCs w:val="20"/>
          <w:lang w:val="es-MX" w:eastAsia="es-PR"/>
        </w:rPr>
        <w:t xml:space="preserve"> Ulloa LE, Rubio </w:t>
      </w:r>
      <w:proofErr w:type="spellStart"/>
      <w:r w:rsidRPr="009A775F">
        <w:rPr>
          <w:rFonts w:ascii="Verdana" w:eastAsia="Times New Roman" w:hAnsi="Verdana" w:cs="Times New Roman"/>
          <w:sz w:val="20"/>
          <w:szCs w:val="20"/>
          <w:lang w:val="es-MX" w:eastAsia="es-PR"/>
        </w:rPr>
        <w:t>Rubio</w:t>
      </w:r>
      <w:proofErr w:type="spellEnd"/>
      <w:r w:rsidRPr="009A775F">
        <w:rPr>
          <w:rFonts w:ascii="Verdana" w:eastAsia="Times New Roman" w:hAnsi="Verdana" w:cs="Times New Roman"/>
          <w:sz w:val="20"/>
          <w:szCs w:val="20"/>
          <w:lang w:val="es-MX" w:eastAsia="es-PR"/>
        </w:rPr>
        <w:t xml:space="preserve"> R, Suárez Escandón A, Cádiz </w:t>
      </w:r>
      <w:proofErr w:type="spellStart"/>
      <w:r w:rsidRPr="009A775F">
        <w:rPr>
          <w:rFonts w:ascii="Verdana" w:eastAsia="Times New Roman" w:hAnsi="Verdana" w:cs="Times New Roman"/>
          <w:sz w:val="20"/>
          <w:szCs w:val="20"/>
          <w:lang w:val="es-MX" w:eastAsia="es-PR"/>
        </w:rPr>
        <w:t>Lahens</w:t>
      </w:r>
      <w:proofErr w:type="spellEnd"/>
      <w:r w:rsidRPr="009A775F">
        <w:rPr>
          <w:rFonts w:ascii="Verdana" w:eastAsia="Times New Roman" w:hAnsi="Verdana" w:cs="Times New Roman"/>
          <w:sz w:val="20"/>
          <w:szCs w:val="20"/>
          <w:lang w:val="es-MX" w:eastAsia="es-PR"/>
        </w:rPr>
        <w:t xml:space="preserve"> A, Ballester </w:t>
      </w:r>
      <w:proofErr w:type="spellStart"/>
      <w:r w:rsidRPr="009A775F">
        <w:rPr>
          <w:rFonts w:ascii="Verdana" w:eastAsia="Times New Roman" w:hAnsi="Verdana" w:cs="Times New Roman"/>
          <w:sz w:val="20"/>
          <w:szCs w:val="20"/>
          <w:lang w:val="es-MX" w:eastAsia="es-PR"/>
        </w:rPr>
        <w:t>Santovenia</w:t>
      </w:r>
      <w:proofErr w:type="spellEnd"/>
      <w:r w:rsidRPr="009A775F">
        <w:rPr>
          <w:rFonts w:ascii="Verdana" w:eastAsia="Times New Roman" w:hAnsi="Verdana" w:cs="Times New Roman"/>
          <w:sz w:val="20"/>
          <w:szCs w:val="20"/>
          <w:lang w:val="es-MX" w:eastAsia="es-PR"/>
        </w:rPr>
        <w:t xml:space="preserve"> JM. Breve análisis del comportamiento de la hemoterapia en Cuba en el año 2011.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Cubana </w:t>
      </w:r>
      <w:proofErr w:type="spellStart"/>
      <w:r w:rsidRPr="009A775F">
        <w:rPr>
          <w:rFonts w:ascii="Verdana" w:eastAsia="Times New Roman" w:hAnsi="Verdana" w:cs="Times New Roman"/>
          <w:sz w:val="20"/>
          <w:szCs w:val="20"/>
          <w:lang w:val="es-MX" w:eastAsia="es-PR"/>
        </w:rPr>
        <w:t>Hematol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Inmunol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Hemoter</w:t>
      </w:r>
      <w:proofErr w:type="spellEnd"/>
      <w:r w:rsidRPr="009A775F">
        <w:rPr>
          <w:rFonts w:ascii="Verdana" w:eastAsia="Times New Roman" w:hAnsi="Verdana" w:cs="Times New Roman"/>
          <w:sz w:val="20"/>
          <w:szCs w:val="20"/>
          <w:lang w:val="es-MX" w:eastAsia="es-PR"/>
        </w:rPr>
        <w:t xml:space="preserve"> [Internet]. 2012 Dic [citado 20 Jun 2016]; 28(4): 435-8. Disponible en:</w:t>
      </w:r>
      <w:r w:rsidRPr="009A775F">
        <w:rPr>
          <w:rFonts w:ascii="Verdana" w:hAnsi="Verdana"/>
          <w:sz w:val="20"/>
          <w:szCs w:val="20"/>
          <w:lang w:val="es-MX"/>
        </w:rPr>
        <w:t xml:space="preserve"> </w:t>
      </w:r>
      <w:hyperlink r:id="rId24" w:history="1">
        <w:r w:rsidRPr="009A775F">
          <w:rPr>
            <w:rStyle w:val="Hipervnculo"/>
            <w:rFonts w:ascii="Verdana" w:eastAsia="Times New Roman" w:hAnsi="Verdana" w:cs="Times New Roman"/>
            <w:sz w:val="20"/>
            <w:szCs w:val="20"/>
            <w:lang w:val="es-MX" w:eastAsia="es-PR"/>
          </w:rPr>
          <w:t>http://scielo.sld.cu/scielo.php?script=sci_arttext&amp;pid=S0864-02892012000400013</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eastAsia="es-PR"/>
        </w:rPr>
      </w:pPr>
      <w:r w:rsidRPr="009A775F">
        <w:rPr>
          <w:rFonts w:ascii="Verdana" w:eastAsia="Times New Roman" w:hAnsi="Verdana" w:cs="Times New Roman"/>
          <w:sz w:val="20"/>
          <w:szCs w:val="20"/>
          <w:lang w:val="es-MX" w:eastAsia="es-PR"/>
        </w:rPr>
        <w:t xml:space="preserve">15. De </w:t>
      </w:r>
      <w:proofErr w:type="spellStart"/>
      <w:r w:rsidRPr="009A775F">
        <w:rPr>
          <w:rFonts w:ascii="Verdana" w:eastAsia="Times New Roman" w:hAnsi="Verdana" w:cs="Times New Roman"/>
          <w:sz w:val="20"/>
          <w:szCs w:val="20"/>
          <w:lang w:val="es-MX" w:eastAsia="es-PR"/>
        </w:rPr>
        <w:t>Vries</w:t>
      </w:r>
      <w:proofErr w:type="spellEnd"/>
      <w:r w:rsidRPr="009A775F">
        <w:rPr>
          <w:rFonts w:ascii="Verdana" w:eastAsia="Times New Roman" w:hAnsi="Verdana" w:cs="Times New Roman"/>
          <w:sz w:val="20"/>
          <w:szCs w:val="20"/>
          <w:lang w:val="es-MX" w:eastAsia="es-PR"/>
        </w:rPr>
        <w:t xml:space="preserve"> RR, Faber JC. </w:t>
      </w:r>
      <w:proofErr w:type="spellStart"/>
      <w:r w:rsidRPr="009A775F">
        <w:rPr>
          <w:rFonts w:ascii="Verdana" w:eastAsia="Times New Roman" w:hAnsi="Verdana" w:cs="Times New Roman"/>
          <w:sz w:val="20"/>
          <w:szCs w:val="20"/>
          <w:lang w:eastAsia="es-PR"/>
        </w:rPr>
        <w:t>Hemovigilance</w:t>
      </w:r>
      <w:proofErr w:type="spellEnd"/>
      <w:r w:rsidRPr="009A775F">
        <w:rPr>
          <w:rFonts w:ascii="Verdana" w:eastAsia="Times New Roman" w:hAnsi="Verdana" w:cs="Times New Roman"/>
          <w:sz w:val="20"/>
          <w:szCs w:val="20"/>
          <w:lang w:eastAsia="es-PR"/>
        </w:rPr>
        <w:t>: An Effective Tool for Improving Transfusion Safety. Amsterdam: Wiley-Blackwell; 2012.</w:t>
      </w:r>
    </w:p>
    <w:p w:rsidR="00D278AE" w:rsidRPr="009A775F" w:rsidRDefault="00D278AE" w:rsidP="00D278AE">
      <w:pPr>
        <w:spacing w:after="0" w:line="240" w:lineRule="auto"/>
        <w:jc w:val="both"/>
        <w:rPr>
          <w:rFonts w:ascii="Verdana" w:eastAsia="Times New Roman" w:hAnsi="Verdana" w:cs="Times New Roman"/>
          <w:sz w:val="20"/>
          <w:szCs w:val="20"/>
          <w:lang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eastAsia="es-PR"/>
        </w:rPr>
        <w:t xml:space="preserve">16. </w:t>
      </w:r>
      <w:proofErr w:type="spellStart"/>
      <w:r w:rsidRPr="009A775F">
        <w:rPr>
          <w:rFonts w:ascii="Verdana" w:eastAsia="Times New Roman" w:hAnsi="Verdana" w:cs="Times New Roman"/>
          <w:sz w:val="20"/>
          <w:szCs w:val="20"/>
          <w:lang w:eastAsia="es-PR"/>
        </w:rPr>
        <w:t>Carneiro</w:t>
      </w:r>
      <w:proofErr w:type="spellEnd"/>
      <w:r w:rsidRPr="009A775F">
        <w:rPr>
          <w:rFonts w:ascii="Verdana" w:eastAsia="Times New Roman" w:hAnsi="Verdana" w:cs="Times New Roman"/>
          <w:sz w:val="20"/>
          <w:szCs w:val="20"/>
          <w:lang w:eastAsia="es-PR"/>
        </w:rPr>
        <w:t xml:space="preserve"> </w:t>
      </w:r>
      <w:proofErr w:type="spellStart"/>
      <w:r w:rsidRPr="009A775F">
        <w:rPr>
          <w:rFonts w:ascii="Verdana" w:eastAsia="Times New Roman" w:hAnsi="Verdana" w:cs="Times New Roman"/>
          <w:sz w:val="20"/>
          <w:szCs w:val="20"/>
          <w:lang w:eastAsia="es-PR"/>
        </w:rPr>
        <w:t>Proietti</w:t>
      </w:r>
      <w:proofErr w:type="spellEnd"/>
      <w:r w:rsidRPr="009A775F">
        <w:rPr>
          <w:rFonts w:ascii="Verdana" w:eastAsia="Times New Roman" w:hAnsi="Verdana" w:cs="Times New Roman"/>
          <w:sz w:val="20"/>
          <w:szCs w:val="20"/>
          <w:lang w:eastAsia="es-PR"/>
        </w:rPr>
        <w:t xml:space="preserve"> AB. </w:t>
      </w:r>
      <w:proofErr w:type="spellStart"/>
      <w:r w:rsidRPr="009A775F">
        <w:rPr>
          <w:rFonts w:ascii="Verdana" w:eastAsia="Times New Roman" w:hAnsi="Verdana" w:cs="Times New Roman"/>
          <w:sz w:val="20"/>
          <w:szCs w:val="20"/>
          <w:lang w:eastAsia="es-PR"/>
        </w:rPr>
        <w:t>Hemovigilance</w:t>
      </w:r>
      <w:proofErr w:type="spellEnd"/>
      <w:r w:rsidRPr="009A775F">
        <w:rPr>
          <w:rFonts w:ascii="Verdana" w:eastAsia="Times New Roman" w:hAnsi="Verdana" w:cs="Times New Roman"/>
          <w:sz w:val="20"/>
          <w:szCs w:val="20"/>
          <w:lang w:eastAsia="es-PR"/>
        </w:rPr>
        <w:t xml:space="preserve">: a system to improve the whole transfusion chain.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Bras</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Hematol</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Hemoter</w:t>
      </w:r>
      <w:proofErr w:type="spellEnd"/>
      <w:r w:rsidRPr="009A775F">
        <w:rPr>
          <w:rFonts w:ascii="Verdana" w:eastAsia="Times New Roman" w:hAnsi="Verdana" w:cs="Times New Roman"/>
          <w:sz w:val="20"/>
          <w:szCs w:val="20"/>
          <w:lang w:val="es-MX" w:eastAsia="es-PR"/>
        </w:rPr>
        <w:t xml:space="preserve"> [Internet]. 2013 [citado 20 Jun 2016]; 35(3): 158-9. Disponible en: </w:t>
      </w:r>
      <w:hyperlink r:id="rId25" w:history="1">
        <w:r w:rsidRPr="009A775F">
          <w:rPr>
            <w:rStyle w:val="Hipervnculo"/>
            <w:rFonts w:ascii="Verdana" w:eastAsia="Times New Roman" w:hAnsi="Verdana" w:cs="Times New Roman"/>
            <w:sz w:val="20"/>
            <w:szCs w:val="20"/>
            <w:lang w:val="es-MX" w:eastAsia="es-PR"/>
          </w:rPr>
          <w:t>http://www.scielo.br/scielo.php?pid=S1516-84842013000300158&amp;script=sci_arttext&amp;tlng=es</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eastAsia="es-PR"/>
        </w:rPr>
      </w:pPr>
      <w:r w:rsidRPr="009A775F">
        <w:rPr>
          <w:rFonts w:ascii="Verdana" w:eastAsia="Times New Roman" w:hAnsi="Verdana" w:cs="Times New Roman"/>
          <w:sz w:val="20"/>
          <w:szCs w:val="20"/>
          <w:lang w:val="es-MX" w:eastAsia="es-PR"/>
        </w:rPr>
        <w:lastRenderedPageBreak/>
        <w:t xml:space="preserve">17. El Uso Clínico  de la Sangre en Medicina General Obstetricia Pediatría y Neonatología Cirugía y Anestesia Trauma y Quemaduras. </w:t>
      </w:r>
      <w:proofErr w:type="spellStart"/>
      <w:r w:rsidRPr="009A775F">
        <w:rPr>
          <w:rFonts w:ascii="Verdana" w:eastAsia="Times New Roman" w:hAnsi="Verdana" w:cs="Times New Roman"/>
          <w:sz w:val="20"/>
          <w:szCs w:val="20"/>
          <w:lang w:eastAsia="es-PR"/>
        </w:rPr>
        <w:t>Ginebra</w:t>
      </w:r>
      <w:proofErr w:type="spellEnd"/>
      <w:r w:rsidRPr="009A775F">
        <w:rPr>
          <w:rFonts w:ascii="Verdana" w:eastAsia="Times New Roman" w:hAnsi="Verdana" w:cs="Times New Roman"/>
          <w:sz w:val="20"/>
          <w:szCs w:val="20"/>
          <w:lang w:eastAsia="es-PR"/>
        </w:rPr>
        <w:t xml:space="preserve">: </w:t>
      </w:r>
      <w:proofErr w:type="spellStart"/>
      <w:r w:rsidRPr="009A775F">
        <w:rPr>
          <w:rFonts w:ascii="Verdana" w:eastAsia="Times New Roman" w:hAnsi="Verdana" w:cs="Times New Roman"/>
          <w:sz w:val="20"/>
          <w:szCs w:val="20"/>
          <w:lang w:eastAsia="es-PR"/>
        </w:rPr>
        <w:t>Organización</w:t>
      </w:r>
      <w:proofErr w:type="spellEnd"/>
      <w:r w:rsidRPr="009A775F">
        <w:rPr>
          <w:rFonts w:ascii="Verdana" w:eastAsia="Times New Roman" w:hAnsi="Verdana" w:cs="Times New Roman"/>
          <w:sz w:val="20"/>
          <w:szCs w:val="20"/>
          <w:lang w:eastAsia="es-PR"/>
        </w:rPr>
        <w:t xml:space="preserve"> Mundial de la </w:t>
      </w:r>
      <w:proofErr w:type="spellStart"/>
      <w:r w:rsidRPr="009A775F">
        <w:rPr>
          <w:rFonts w:ascii="Verdana" w:eastAsia="Times New Roman" w:hAnsi="Verdana" w:cs="Times New Roman"/>
          <w:sz w:val="20"/>
          <w:szCs w:val="20"/>
          <w:lang w:eastAsia="es-PR"/>
        </w:rPr>
        <w:t>Salud</w:t>
      </w:r>
      <w:proofErr w:type="spellEnd"/>
      <w:r w:rsidRPr="009A775F">
        <w:rPr>
          <w:rFonts w:ascii="Verdana" w:eastAsia="Times New Roman" w:hAnsi="Verdana" w:cs="Times New Roman"/>
          <w:sz w:val="20"/>
          <w:szCs w:val="20"/>
          <w:lang w:eastAsia="es-PR"/>
        </w:rPr>
        <w:t xml:space="preserve">; s/a. </w:t>
      </w:r>
    </w:p>
    <w:p w:rsidR="00D278AE" w:rsidRPr="009A775F" w:rsidRDefault="00D278AE" w:rsidP="00D278AE">
      <w:pPr>
        <w:spacing w:after="0" w:line="240" w:lineRule="auto"/>
        <w:jc w:val="both"/>
        <w:rPr>
          <w:rFonts w:ascii="Verdana" w:eastAsia="Times New Roman" w:hAnsi="Verdana" w:cs="Times New Roman"/>
          <w:sz w:val="20"/>
          <w:szCs w:val="20"/>
          <w:lang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eastAsia="es-PR"/>
        </w:rPr>
        <w:t xml:space="preserve">18. </w:t>
      </w:r>
      <w:proofErr w:type="spellStart"/>
      <w:r w:rsidRPr="009A775F">
        <w:rPr>
          <w:rFonts w:ascii="Verdana" w:eastAsia="Times New Roman" w:hAnsi="Verdana" w:cs="Times New Roman"/>
          <w:sz w:val="20"/>
          <w:szCs w:val="20"/>
          <w:lang w:eastAsia="es-PR"/>
        </w:rPr>
        <w:t>Bagang</w:t>
      </w:r>
      <w:proofErr w:type="spellEnd"/>
      <w:r w:rsidRPr="009A775F">
        <w:rPr>
          <w:rFonts w:ascii="Verdana" w:eastAsia="Times New Roman" w:hAnsi="Verdana" w:cs="Times New Roman"/>
          <w:sz w:val="20"/>
          <w:szCs w:val="20"/>
          <w:lang w:eastAsia="es-PR"/>
        </w:rPr>
        <w:t xml:space="preserve"> E, </w:t>
      </w:r>
      <w:proofErr w:type="spellStart"/>
      <w:r w:rsidRPr="009A775F">
        <w:rPr>
          <w:rFonts w:ascii="Verdana" w:eastAsia="Times New Roman" w:hAnsi="Verdana" w:cs="Times New Roman"/>
          <w:sz w:val="20"/>
          <w:szCs w:val="20"/>
          <w:lang w:eastAsia="es-PR"/>
        </w:rPr>
        <w:t>Szallasi</w:t>
      </w:r>
      <w:proofErr w:type="spellEnd"/>
      <w:r w:rsidRPr="009A775F">
        <w:rPr>
          <w:rFonts w:ascii="Verdana" w:eastAsia="Times New Roman" w:hAnsi="Verdana" w:cs="Times New Roman"/>
          <w:sz w:val="20"/>
          <w:szCs w:val="20"/>
          <w:lang w:eastAsia="es-PR"/>
        </w:rPr>
        <w:t xml:space="preserve"> A. "Transfusion indication RBC (PBM-02)": gap analysis of a Joint Commission Patient Blood Management Performance Measure at a community hospital. </w:t>
      </w:r>
      <w:proofErr w:type="spellStart"/>
      <w:r w:rsidRPr="009A775F">
        <w:rPr>
          <w:rFonts w:ascii="Verdana" w:eastAsia="Times New Roman" w:hAnsi="Verdana" w:cs="Times New Roman"/>
          <w:sz w:val="20"/>
          <w:szCs w:val="20"/>
          <w:lang w:val="es-MX" w:eastAsia="es-PR"/>
        </w:rPr>
        <w:t>Blood</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Transfus</w:t>
      </w:r>
      <w:proofErr w:type="spellEnd"/>
      <w:r w:rsidRPr="009A775F">
        <w:rPr>
          <w:rFonts w:ascii="Verdana" w:eastAsia="Times New Roman" w:hAnsi="Verdana" w:cs="Times New Roman"/>
          <w:sz w:val="20"/>
          <w:szCs w:val="20"/>
          <w:lang w:val="es-MX" w:eastAsia="es-PR"/>
        </w:rPr>
        <w:t xml:space="preserve"> [Internet]. 2014 [citado 20 Jun 2016]; 12(Suppl-1): s187-90. Disponible en:</w:t>
      </w:r>
      <w:r w:rsidRPr="009A775F">
        <w:rPr>
          <w:rFonts w:ascii="Verdana" w:hAnsi="Verdana"/>
          <w:sz w:val="20"/>
          <w:szCs w:val="20"/>
          <w:lang w:val="es-MX"/>
        </w:rPr>
        <w:t xml:space="preserve"> </w:t>
      </w:r>
      <w:hyperlink r:id="rId26" w:history="1">
        <w:r w:rsidRPr="009A775F">
          <w:rPr>
            <w:rStyle w:val="Hipervnculo"/>
            <w:rFonts w:ascii="Verdana" w:eastAsia="Times New Roman" w:hAnsi="Verdana" w:cs="Times New Roman"/>
            <w:sz w:val="20"/>
            <w:szCs w:val="20"/>
            <w:lang w:val="es-MX" w:eastAsia="es-PR"/>
          </w:rPr>
          <w:t>http://www.ncbi.nlm.nih.gov/pmc/articles/PMC3934221/</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hAnsi="Verdana"/>
          <w:sz w:val="20"/>
          <w:szCs w:val="20"/>
          <w:lang w:val="es-MX"/>
        </w:rPr>
      </w:pPr>
      <w:r w:rsidRPr="009A775F">
        <w:rPr>
          <w:rFonts w:ascii="Verdana" w:eastAsia="Times New Roman" w:hAnsi="Verdana" w:cs="Times New Roman"/>
          <w:sz w:val="20"/>
          <w:szCs w:val="20"/>
          <w:lang w:val="es-MX" w:eastAsia="es-PR"/>
        </w:rPr>
        <w:t xml:space="preserve">19. Organización Mundial de la Salud. Base Mundial de Datos sobre Seguridad de la Sangre [Internet]. 2011 citado 20 Jun 2016]. Disponible en: </w:t>
      </w:r>
      <w:hyperlink r:id="rId27" w:history="1">
        <w:r w:rsidRPr="009A775F">
          <w:rPr>
            <w:rFonts w:ascii="Verdana" w:eastAsia="Times New Roman" w:hAnsi="Verdana" w:cs="Times New Roman"/>
            <w:sz w:val="20"/>
            <w:szCs w:val="20"/>
            <w:u w:val="single"/>
            <w:lang w:val="es-MX" w:eastAsia="es-PR"/>
          </w:rPr>
          <w:t>http://www.who.int/bloodsafety/global_database/GDBS_Summary_Report_2011.pdf?ua=1</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20</w:t>
      </w:r>
      <w:proofErr w:type="gramStart"/>
      <w:r w:rsidRPr="009A775F">
        <w:rPr>
          <w:rFonts w:ascii="Verdana" w:eastAsia="Times New Roman" w:hAnsi="Verdana" w:cs="Times New Roman"/>
          <w:sz w:val="20"/>
          <w:szCs w:val="20"/>
          <w:lang w:val="es-MX" w:eastAsia="es-PR"/>
        </w:rPr>
        <w:t>.Alhetheel</w:t>
      </w:r>
      <w:proofErr w:type="gramEnd"/>
      <w:r w:rsidRPr="009A775F">
        <w:rPr>
          <w:rFonts w:ascii="Verdana" w:eastAsia="Times New Roman" w:hAnsi="Verdana" w:cs="Times New Roman"/>
          <w:sz w:val="20"/>
          <w:szCs w:val="20"/>
          <w:lang w:val="es-MX" w:eastAsia="es-PR"/>
        </w:rPr>
        <w:t xml:space="preserve"> A, El-</w:t>
      </w:r>
      <w:proofErr w:type="spellStart"/>
      <w:r w:rsidRPr="009A775F">
        <w:rPr>
          <w:rFonts w:ascii="Verdana" w:eastAsia="Times New Roman" w:hAnsi="Verdana" w:cs="Times New Roman"/>
          <w:sz w:val="20"/>
          <w:szCs w:val="20"/>
          <w:lang w:val="es-MX" w:eastAsia="es-PR"/>
        </w:rPr>
        <w:t>Hazmi</w:t>
      </w:r>
      <w:proofErr w:type="spellEnd"/>
      <w:r w:rsidRPr="009A775F">
        <w:rPr>
          <w:rFonts w:ascii="Verdana" w:eastAsia="Times New Roman" w:hAnsi="Verdana" w:cs="Times New Roman"/>
          <w:sz w:val="20"/>
          <w:szCs w:val="20"/>
          <w:lang w:val="es-MX" w:eastAsia="es-PR"/>
        </w:rPr>
        <w:t xml:space="preserve"> MM. </w:t>
      </w:r>
      <w:proofErr w:type="gramStart"/>
      <w:r w:rsidRPr="009A775F">
        <w:rPr>
          <w:rFonts w:ascii="Verdana" w:eastAsia="Times New Roman" w:hAnsi="Verdana" w:cs="Times New Roman"/>
          <w:sz w:val="20"/>
          <w:szCs w:val="20"/>
          <w:lang w:eastAsia="es-PR"/>
        </w:rPr>
        <w:t>Hepatitis G virus in Saudi blood donors and chronic hepatitis B and C patients.</w:t>
      </w:r>
      <w:proofErr w:type="gramEnd"/>
      <w:r w:rsidRPr="009A775F">
        <w:rPr>
          <w:rFonts w:ascii="Verdana" w:eastAsia="Times New Roman" w:hAnsi="Verdana" w:cs="Times New Roman"/>
          <w:sz w:val="20"/>
          <w:szCs w:val="20"/>
          <w:lang w:eastAsia="es-PR"/>
        </w:rPr>
        <w:t xml:space="preserve"> </w:t>
      </w:r>
      <w:r w:rsidRPr="009A775F">
        <w:rPr>
          <w:rFonts w:ascii="Verdana" w:eastAsia="Times New Roman" w:hAnsi="Verdana" w:cs="Times New Roman"/>
          <w:sz w:val="20"/>
          <w:szCs w:val="20"/>
          <w:lang w:val="es-MX" w:eastAsia="es-PR"/>
        </w:rPr>
        <w:t xml:space="preserve">J </w:t>
      </w:r>
      <w:proofErr w:type="spellStart"/>
      <w:r w:rsidRPr="009A775F">
        <w:rPr>
          <w:rFonts w:ascii="Verdana" w:eastAsia="Times New Roman" w:hAnsi="Verdana" w:cs="Times New Roman"/>
          <w:sz w:val="20"/>
          <w:szCs w:val="20"/>
          <w:lang w:val="es-MX" w:eastAsia="es-PR"/>
        </w:rPr>
        <w:t>Infect</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DevCtries</w:t>
      </w:r>
      <w:proofErr w:type="spellEnd"/>
      <w:r w:rsidRPr="009A775F">
        <w:rPr>
          <w:rFonts w:ascii="Verdana" w:eastAsia="Times New Roman" w:hAnsi="Verdana" w:cs="Times New Roman"/>
          <w:sz w:val="20"/>
          <w:szCs w:val="20"/>
          <w:lang w:val="es-MX" w:eastAsia="es-PR"/>
        </w:rPr>
        <w:t xml:space="preserve"> [Internet]. 2014 Jan-15 [citado 20 Jun 2016]; 8(1): 110-5. Disponible en: </w:t>
      </w:r>
      <w:hyperlink r:id="rId28" w:history="1">
        <w:r w:rsidRPr="009A775F">
          <w:rPr>
            <w:rStyle w:val="Hipervnculo"/>
            <w:rFonts w:ascii="Verdana" w:eastAsia="Times New Roman" w:hAnsi="Verdana" w:cs="Times New Roman"/>
            <w:sz w:val="20"/>
            <w:szCs w:val="20"/>
            <w:lang w:val="es-MX" w:eastAsia="es-PR"/>
          </w:rPr>
          <w:t>http://jidc.org</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val="es-MX" w:eastAsia="es-PR"/>
        </w:rPr>
        <w:tab/>
      </w: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eastAsia="es-PR"/>
        </w:rPr>
        <w:t xml:space="preserve">21. </w:t>
      </w:r>
      <w:proofErr w:type="spellStart"/>
      <w:r w:rsidRPr="009A775F">
        <w:rPr>
          <w:rFonts w:ascii="Verdana" w:eastAsia="Times New Roman" w:hAnsi="Verdana" w:cs="Times New Roman"/>
          <w:sz w:val="20"/>
          <w:szCs w:val="20"/>
          <w:lang w:eastAsia="es-PR"/>
        </w:rPr>
        <w:t>Isbister</w:t>
      </w:r>
      <w:proofErr w:type="spellEnd"/>
      <w:r w:rsidRPr="009A775F">
        <w:rPr>
          <w:rFonts w:ascii="Verdana" w:eastAsia="Times New Roman" w:hAnsi="Verdana" w:cs="Times New Roman"/>
          <w:sz w:val="20"/>
          <w:szCs w:val="20"/>
          <w:lang w:eastAsia="es-PR"/>
        </w:rPr>
        <w:t xml:space="preserve"> JP, </w:t>
      </w:r>
      <w:proofErr w:type="spellStart"/>
      <w:r w:rsidRPr="009A775F">
        <w:rPr>
          <w:rFonts w:ascii="Verdana" w:eastAsia="Times New Roman" w:hAnsi="Verdana" w:cs="Times New Roman"/>
          <w:sz w:val="20"/>
          <w:szCs w:val="20"/>
          <w:lang w:eastAsia="es-PR"/>
        </w:rPr>
        <w:t>Shander</w:t>
      </w:r>
      <w:proofErr w:type="spellEnd"/>
      <w:r w:rsidRPr="009A775F">
        <w:rPr>
          <w:rFonts w:ascii="Verdana" w:eastAsia="Times New Roman" w:hAnsi="Verdana" w:cs="Times New Roman"/>
          <w:sz w:val="20"/>
          <w:szCs w:val="20"/>
          <w:lang w:eastAsia="es-PR"/>
        </w:rPr>
        <w:t xml:space="preserve"> A, </w:t>
      </w:r>
      <w:proofErr w:type="spellStart"/>
      <w:r w:rsidRPr="009A775F">
        <w:rPr>
          <w:rFonts w:ascii="Verdana" w:eastAsia="Times New Roman" w:hAnsi="Verdana" w:cs="Times New Roman"/>
          <w:sz w:val="20"/>
          <w:szCs w:val="20"/>
          <w:lang w:eastAsia="es-PR"/>
        </w:rPr>
        <w:t>Spahn</w:t>
      </w:r>
      <w:proofErr w:type="spellEnd"/>
      <w:r w:rsidRPr="009A775F">
        <w:rPr>
          <w:rFonts w:ascii="Verdana" w:eastAsia="Times New Roman" w:hAnsi="Verdana" w:cs="Times New Roman"/>
          <w:sz w:val="20"/>
          <w:szCs w:val="20"/>
          <w:lang w:eastAsia="es-PR"/>
        </w:rPr>
        <w:t xml:space="preserve"> DR. Adverse blood transfusion outcomes: establishing causation. </w:t>
      </w:r>
      <w:proofErr w:type="spellStart"/>
      <w:r w:rsidRPr="009A775F">
        <w:rPr>
          <w:rFonts w:ascii="Verdana" w:eastAsia="Times New Roman" w:hAnsi="Verdana" w:cs="Times New Roman"/>
          <w:sz w:val="20"/>
          <w:szCs w:val="20"/>
          <w:lang w:val="es-MX" w:eastAsia="es-PR"/>
        </w:rPr>
        <w:t>Transfus</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Med</w:t>
      </w:r>
      <w:proofErr w:type="spellEnd"/>
      <w:r w:rsidRPr="009A775F">
        <w:rPr>
          <w:rFonts w:ascii="Verdana" w:eastAsia="Times New Roman" w:hAnsi="Verdana" w:cs="Times New Roman"/>
          <w:sz w:val="20"/>
          <w:szCs w:val="20"/>
          <w:lang w:val="es-MX" w:eastAsia="es-PR"/>
        </w:rPr>
        <w:t xml:space="preserve"> </w:t>
      </w:r>
      <w:proofErr w:type="spellStart"/>
      <w:r w:rsidRPr="009A775F">
        <w:rPr>
          <w:rFonts w:ascii="Verdana" w:eastAsia="Times New Roman" w:hAnsi="Verdana" w:cs="Times New Roman"/>
          <w:sz w:val="20"/>
          <w:szCs w:val="20"/>
          <w:lang w:val="es-MX" w:eastAsia="es-PR"/>
        </w:rPr>
        <w:t>Rev</w:t>
      </w:r>
      <w:proofErr w:type="spellEnd"/>
      <w:r w:rsidRPr="009A775F">
        <w:rPr>
          <w:rFonts w:ascii="Verdana" w:eastAsia="Times New Roman" w:hAnsi="Verdana" w:cs="Times New Roman"/>
          <w:sz w:val="20"/>
          <w:szCs w:val="20"/>
          <w:lang w:val="es-MX" w:eastAsia="es-PR"/>
        </w:rPr>
        <w:t xml:space="preserve"> [Internet]. 2011 [citado 20 Jun 2016]; 25:89-101. Disponible en: </w:t>
      </w:r>
      <w:hyperlink r:id="rId29" w:history="1">
        <w:r w:rsidRPr="009A775F">
          <w:rPr>
            <w:rStyle w:val="Hipervnculo"/>
            <w:rFonts w:ascii="Verdana" w:eastAsia="Times New Roman" w:hAnsi="Verdana" w:cs="Times New Roman"/>
            <w:sz w:val="20"/>
            <w:szCs w:val="20"/>
            <w:lang w:val="es-MX" w:eastAsia="es-PR"/>
          </w:rPr>
          <w:t>http://www.sciencedirect.com/science/article/pii/S0887796310000829</w:t>
        </w:r>
      </w:hyperlink>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p>
    <w:p w:rsidR="00D278AE" w:rsidRPr="009A775F" w:rsidRDefault="00D278AE" w:rsidP="00D278AE">
      <w:pPr>
        <w:spacing w:after="0" w:line="240" w:lineRule="auto"/>
        <w:jc w:val="both"/>
        <w:rPr>
          <w:rFonts w:ascii="Verdana" w:eastAsia="Times New Roman" w:hAnsi="Verdana" w:cs="Times New Roman"/>
          <w:sz w:val="20"/>
          <w:szCs w:val="20"/>
          <w:lang w:val="es-MX" w:eastAsia="es-PR"/>
        </w:rPr>
      </w:pPr>
      <w:r w:rsidRPr="009A775F">
        <w:rPr>
          <w:rFonts w:ascii="Verdana" w:eastAsia="Times New Roman" w:hAnsi="Verdana" w:cs="Times New Roman"/>
          <w:sz w:val="20"/>
          <w:szCs w:val="20"/>
          <w:lang w:eastAsia="es-PR"/>
        </w:rPr>
        <w:t xml:space="preserve">22. Kumar P, </w:t>
      </w:r>
      <w:proofErr w:type="spellStart"/>
      <w:r w:rsidRPr="009A775F">
        <w:rPr>
          <w:rFonts w:ascii="Verdana" w:eastAsia="Times New Roman" w:hAnsi="Verdana" w:cs="Times New Roman"/>
          <w:sz w:val="20"/>
          <w:szCs w:val="20"/>
          <w:lang w:eastAsia="es-PR"/>
        </w:rPr>
        <w:t>Thapliyal</w:t>
      </w:r>
      <w:proofErr w:type="spellEnd"/>
      <w:r w:rsidRPr="009A775F">
        <w:rPr>
          <w:rFonts w:ascii="Verdana" w:eastAsia="Times New Roman" w:hAnsi="Verdana" w:cs="Times New Roman"/>
          <w:sz w:val="20"/>
          <w:szCs w:val="20"/>
          <w:lang w:eastAsia="es-PR"/>
        </w:rPr>
        <w:t xml:space="preserve"> R, </w:t>
      </w:r>
      <w:proofErr w:type="spellStart"/>
      <w:r w:rsidRPr="009A775F">
        <w:rPr>
          <w:rFonts w:ascii="Verdana" w:eastAsia="Times New Roman" w:hAnsi="Verdana" w:cs="Times New Roman"/>
          <w:sz w:val="20"/>
          <w:szCs w:val="20"/>
          <w:lang w:eastAsia="es-PR"/>
        </w:rPr>
        <w:t>Coshic</w:t>
      </w:r>
      <w:proofErr w:type="spellEnd"/>
      <w:r w:rsidRPr="009A775F">
        <w:rPr>
          <w:rFonts w:ascii="Verdana" w:eastAsia="Times New Roman" w:hAnsi="Verdana" w:cs="Times New Roman"/>
          <w:sz w:val="20"/>
          <w:szCs w:val="20"/>
          <w:lang w:eastAsia="es-PR"/>
        </w:rPr>
        <w:t xml:space="preserve"> P, </w:t>
      </w:r>
      <w:proofErr w:type="spellStart"/>
      <w:r w:rsidRPr="009A775F">
        <w:rPr>
          <w:rFonts w:ascii="Verdana" w:eastAsia="Times New Roman" w:hAnsi="Verdana" w:cs="Times New Roman"/>
          <w:sz w:val="20"/>
          <w:szCs w:val="20"/>
          <w:lang w:eastAsia="es-PR"/>
        </w:rPr>
        <w:t>Chatterjee</w:t>
      </w:r>
      <w:proofErr w:type="spellEnd"/>
      <w:r w:rsidRPr="009A775F">
        <w:rPr>
          <w:rFonts w:ascii="Verdana" w:eastAsia="Times New Roman" w:hAnsi="Verdana" w:cs="Times New Roman"/>
          <w:sz w:val="20"/>
          <w:szCs w:val="20"/>
          <w:lang w:eastAsia="es-PR"/>
        </w:rPr>
        <w:t xml:space="preserve"> K. Retrospective evaluation of adverse transfusion reactions following blood product transfusion from a tertiary care hospital: A preliminary step towards </w:t>
      </w:r>
      <w:proofErr w:type="spellStart"/>
      <w:r w:rsidRPr="009A775F">
        <w:rPr>
          <w:rFonts w:ascii="Verdana" w:eastAsia="Times New Roman" w:hAnsi="Verdana" w:cs="Times New Roman"/>
          <w:sz w:val="20"/>
          <w:szCs w:val="20"/>
          <w:lang w:eastAsia="es-PR"/>
        </w:rPr>
        <w:t>hemovigilance</w:t>
      </w:r>
      <w:proofErr w:type="spellEnd"/>
      <w:r w:rsidRPr="009A775F">
        <w:rPr>
          <w:rFonts w:ascii="Verdana" w:eastAsia="Times New Roman" w:hAnsi="Verdana" w:cs="Times New Roman"/>
          <w:sz w:val="20"/>
          <w:szCs w:val="20"/>
          <w:lang w:eastAsia="es-PR"/>
        </w:rPr>
        <w:t>. </w:t>
      </w:r>
      <w:proofErr w:type="spellStart"/>
      <w:r w:rsidRPr="009A775F">
        <w:rPr>
          <w:rFonts w:ascii="Verdana" w:eastAsia="Times New Roman" w:hAnsi="Verdana" w:cs="Times New Roman"/>
          <w:sz w:val="20"/>
          <w:szCs w:val="20"/>
          <w:lang w:val="es-MX" w:eastAsia="es-PR"/>
        </w:rPr>
        <w:t>Asian</w:t>
      </w:r>
      <w:proofErr w:type="spellEnd"/>
      <w:r w:rsidRPr="009A775F">
        <w:rPr>
          <w:rFonts w:ascii="Verdana" w:eastAsia="Times New Roman" w:hAnsi="Verdana" w:cs="Times New Roman"/>
          <w:sz w:val="20"/>
          <w:szCs w:val="20"/>
          <w:lang w:val="es-MX" w:eastAsia="es-PR"/>
        </w:rPr>
        <w:t xml:space="preserve"> J </w:t>
      </w:r>
      <w:proofErr w:type="spellStart"/>
      <w:r w:rsidRPr="009A775F">
        <w:rPr>
          <w:rFonts w:ascii="Verdana" w:eastAsia="Times New Roman" w:hAnsi="Verdana" w:cs="Times New Roman"/>
          <w:sz w:val="20"/>
          <w:szCs w:val="20"/>
          <w:lang w:val="es-MX" w:eastAsia="es-PR"/>
        </w:rPr>
        <w:t>TransfusSci</w:t>
      </w:r>
      <w:proofErr w:type="spellEnd"/>
      <w:r w:rsidRPr="009A775F">
        <w:rPr>
          <w:rFonts w:ascii="Verdana" w:eastAsia="Times New Roman" w:hAnsi="Verdana" w:cs="Times New Roman"/>
          <w:sz w:val="20"/>
          <w:szCs w:val="20"/>
          <w:lang w:val="es-MX" w:eastAsia="es-PR"/>
        </w:rPr>
        <w:t xml:space="preserve"> [Internet]. 2013 Jul [citado 20 Jun 2016]; 7(2): 109-15. Disponible en: </w:t>
      </w:r>
      <w:hyperlink r:id="rId30" w:history="1">
        <w:r w:rsidRPr="009A775F">
          <w:rPr>
            <w:rStyle w:val="Hipervnculo"/>
            <w:rFonts w:ascii="Verdana" w:eastAsia="Times New Roman" w:hAnsi="Verdana" w:cs="Times New Roman"/>
            <w:sz w:val="20"/>
            <w:szCs w:val="20"/>
            <w:lang w:val="es-MX" w:eastAsia="es-PR"/>
          </w:rPr>
          <w:t>http://ajts.org</w:t>
        </w:r>
      </w:hyperlink>
    </w:p>
    <w:p w:rsidR="00D278AE" w:rsidRPr="009A775F" w:rsidRDefault="00D278AE" w:rsidP="00D278AE">
      <w:pPr>
        <w:pStyle w:val="Ttulo5"/>
        <w:rPr>
          <w:rFonts w:ascii="Verdana" w:eastAsia="Times New Roman" w:hAnsi="Verdana" w:cs="Times New Roman"/>
          <w:color w:val="auto"/>
          <w:sz w:val="20"/>
          <w:szCs w:val="20"/>
          <w:lang w:val="es-MX" w:eastAsia="es-PR"/>
        </w:rPr>
      </w:pPr>
      <w:r w:rsidRPr="009A775F">
        <w:rPr>
          <w:rFonts w:ascii="Verdana" w:eastAsia="Times New Roman" w:hAnsi="Verdana" w:cs="Times New Roman"/>
          <w:color w:val="auto"/>
          <w:sz w:val="20"/>
          <w:szCs w:val="20"/>
          <w:lang w:val="es-MX" w:eastAsia="es-PR"/>
        </w:rPr>
        <w:t xml:space="preserve">23. </w:t>
      </w:r>
      <w:proofErr w:type="spellStart"/>
      <w:r w:rsidRPr="009A775F">
        <w:rPr>
          <w:rFonts w:ascii="Verdana" w:eastAsia="Times New Roman" w:hAnsi="Verdana" w:cs="Times New Roman"/>
          <w:color w:val="auto"/>
          <w:sz w:val="20"/>
          <w:szCs w:val="20"/>
          <w:lang w:val="es-MX" w:eastAsia="es-PR"/>
        </w:rPr>
        <w:t>Fernandez</w:t>
      </w:r>
      <w:proofErr w:type="spellEnd"/>
      <w:r w:rsidRPr="009A775F">
        <w:rPr>
          <w:rFonts w:ascii="Verdana" w:eastAsia="Times New Roman" w:hAnsi="Verdana" w:cs="Times New Roman"/>
          <w:color w:val="auto"/>
          <w:sz w:val="20"/>
          <w:szCs w:val="20"/>
          <w:lang w:val="es-MX" w:eastAsia="es-PR"/>
        </w:rPr>
        <w:t xml:space="preserve"> </w:t>
      </w:r>
      <w:proofErr w:type="spellStart"/>
      <w:r w:rsidRPr="009A775F">
        <w:rPr>
          <w:rFonts w:ascii="Verdana" w:eastAsia="Times New Roman" w:hAnsi="Verdana" w:cs="Times New Roman"/>
          <w:color w:val="auto"/>
          <w:sz w:val="20"/>
          <w:szCs w:val="20"/>
          <w:lang w:val="es-MX" w:eastAsia="es-PR"/>
        </w:rPr>
        <w:t>Y</w:t>
      </w:r>
      <w:proofErr w:type="gramStart"/>
      <w:r w:rsidRPr="009A775F">
        <w:rPr>
          <w:rFonts w:ascii="Verdana" w:eastAsia="Times New Roman" w:hAnsi="Verdana" w:cs="Times New Roman"/>
          <w:color w:val="auto"/>
          <w:sz w:val="20"/>
          <w:szCs w:val="20"/>
          <w:lang w:val="es-MX" w:eastAsia="es-PR"/>
        </w:rPr>
        <w:t>,Cedré</w:t>
      </w:r>
      <w:proofErr w:type="spellEnd"/>
      <w:proofErr w:type="gramEnd"/>
      <w:r w:rsidRPr="009A775F">
        <w:rPr>
          <w:rFonts w:ascii="Verdana" w:eastAsia="Times New Roman" w:hAnsi="Verdana" w:cs="Times New Roman"/>
          <w:color w:val="auto"/>
          <w:sz w:val="20"/>
          <w:szCs w:val="20"/>
          <w:lang w:val="es-MX" w:eastAsia="es-PR"/>
        </w:rPr>
        <w:t xml:space="preserve"> T, Zamora L. Reacciones adversas </w:t>
      </w:r>
      <w:proofErr w:type="spellStart"/>
      <w:r w:rsidRPr="009A775F">
        <w:rPr>
          <w:rFonts w:ascii="Verdana" w:eastAsia="Times New Roman" w:hAnsi="Verdana" w:cs="Times New Roman"/>
          <w:color w:val="auto"/>
          <w:sz w:val="20"/>
          <w:szCs w:val="20"/>
          <w:lang w:val="es-MX" w:eastAsia="es-PR"/>
        </w:rPr>
        <w:t>postransfusionales</w:t>
      </w:r>
      <w:proofErr w:type="spellEnd"/>
      <w:r w:rsidRPr="009A775F">
        <w:rPr>
          <w:rFonts w:ascii="Verdana" w:eastAsia="Times New Roman" w:hAnsi="Verdana" w:cs="Times New Roman"/>
          <w:color w:val="auto"/>
          <w:sz w:val="20"/>
          <w:szCs w:val="20"/>
          <w:lang w:val="es-MX" w:eastAsia="es-PR"/>
        </w:rPr>
        <w:t xml:space="preserve"> a componentes sanguíneos. </w:t>
      </w:r>
      <w:proofErr w:type="spellStart"/>
      <w:r w:rsidRPr="009A775F">
        <w:rPr>
          <w:rFonts w:ascii="Verdana" w:eastAsia="Times New Roman" w:hAnsi="Verdana" w:cs="Times New Roman"/>
          <w:color w:val="auto"/>
          <w:sz w:val="20"/>
          <w:szCs w:val="20"/>
          <w:lang w:val="es-MX" w:eastAsia="es-PR"/>
        </w:rPr>
        <w:t>Rev</w:t>
      </w:r>
      <w:proofErr w:type="spellEnd"/>
      <w:r w:rsidRPr="009A775F">
        <w:rPr>
          <w:rFonts w:ascii="Verdana" w:eastAsia="Times New Roman" w:hAnsi="Verdana" w:cs="Times New Roman"/>
          <w:color w:val="auto"/>
          <w:sz w:val="20"/>
          <w:szCs w:val="20"/>
          <w:lang w:val="es-MX" w:eastAsia="es-PR"/>
        </w:rPr>
        <w:t xml:space="preserve"> Cubana </w:t>
      </w:r>
      <w:proofErr w:type="spellStart"/>
      <w:r w:rsidRPr="009A775F">
        <w:rPr>
          <w:rFonts w:ascii="Verdana" w:eastAsia="Times New Roman" w:hAnsi="Verdana" w:cs="Times New Roman"/>
          <w:color w:val="auto"/>
          <w:sz w:val="20"/>
          <w:szCs w:val="20"/>
          <w:lang w:val="es-MX" w:eastAsia="es-PR"/>
        </w:rPr>
        <w:t>Farm</w:t>
      </w:r>
      <w:proofErr w:type="spellEnd"/>
      <w:r w:rsidRPr="009A775F">
        <w:rPr>
          <w:rFonts w:ascii="Verdana" w:eastAsia="Times New Roman" w:hAnsi="Verdana" w:cs="Times New Roman"/>
          <w:color w:val="auto"/>
          <w:sz w:val="20"/>
          <w:szCs w:val="20"/>
          <w:lang w:val="es-MX" w:eastAsia="es-PR"/>
        </w:rPr>
        <w:t xml:space="preserve"> [Internet]. 2004 [citado 20 Jun 2016]; 38(2)</w:t>
      </w:r>
      <w:proofErr w:type="gramStart"/>
      <w:r w:rsidRPr="009A775F">
        <w:rPr>
          <w:rFonts w:ascii="Verdana" w:eastAsia="Times New Roman" w:hAnsi="Verdana" w:cs="Times New Roman"/>
          <w:color w:val="auto"/>
          <w:sz w:val="20"/>
          <w:szCs w:val="20"/>
          <w:lang w:val="es-MX" w:eastAsia="es-PR"/>
        </w:rPr>
        <w:t>:.</w:t>
      </w:r>
      <w:proofErr w:type="gramEnd"/>
      <w:r w:rsidRPr="009A775F">
        <w:rPr>
          <w:rFonts w:ascii="Verdana" w:eastAsia="Times New Roman" w:hAnsi="Verdana" w:cs="Times New Roman"/>
          <w:color w:val="auto"/>
          <w:sz w:val="20"/>
          <w:szCs w:val="20"/>
          <w:lang w:val="es-MX" w:eastAsia="es-PR"/>
        </w:rPr>
        <w:t xml:space="preserve"> Disponible en:</w:t>
      </w:r>
      <w:r w:rsidRPr="009A775F">
        <w:rPr>
          <w:rFonts w:ascii="Verdana" w:hAnsi="Verdana"/>
          <w:sz w:val="20"/>
          <w:szCs w:val="20"/>
          <w:lang w:val="es-ES"/>
        </w:rPr>
        <w:t xml:space="preserve"> </w:t>
      </w:r>
      <w:hyperlink r:id="rId31" w:history="1">
        <w:r w:rsidRPr="009A775F">
          <w:rPr>
            <w:rStyle w:val="Hipervnculo"/>
            <w:rFonts w:ascii="Verdana" w:eastAsia="Times New Roman" w:hAnsi="Verdana" w:cs="Times New Roman"/>
            <w:sz w:val="20"/>
            <w:szCs w:val="20"/>
            <w:lang w:val="es-MX" w:eastAsia="es-PR"/>
          </w:rPr>
          <w:t>http://scielo.sld.cu/scielo.php?script=sci_arttext&amp;pid=S0034-75152004000200008</w:t>
        </w:r>
      </w:hyperlink>
    </w:p>
    <w:p w:rsidR="001C2980" w:rsidRPr="009A775F" w:rsidRDefault="001C2980" w:rsidP="00A425B0">
      <w:pPr>
        <w:spacing w:after="0" w:line="240" w:lineRule="auto"/>
        <w:jc w:val="both"/>
        <w:rPr>
          <w:rFonts w:ascii="Verdana" w:eastAsia="Times New Roman" w:hAnsi="Verdana" w:cs="Times New Roman"/>
          <w:sz w:val="20"/>
          <w:szCs w:val="20"/>
          <w:lang w:val="es-MX" w:eastAsia="es-PR"/>
        </w:rPr>
      </w:pPr>
    </w:p>
    <w:sectPr w:rsidR="001C2980" w:rsidRPr="009A775F" w:rsidSect="00C113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16" w:rsidRDefault="00612F16" w:rsidP="00372307">
      <w:pPr>
        <w:spacing w:after="0" w:line="240" w:lineRule="auto"/>
      </w:pPr>
      <w:r>
        <w:separator/>
      </w:r>
    </w:p>
  </w:endnote>
  <w:endnote w:type="continuationSeparator" w:id="0">
    <w:p w:rsidR="00612F16" w:rsidRDefault="00612F16" w:rsidP="0037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16" w:rsidRDefault="00612F16" w:rsidP="00372307">
      <w:pPr>
        <w:spacing w:after="0" w:line="240" w:lineRule="auto"/>
      </w:pPr>
      <w:r>
        <w:separator/>
      </w:r>
    </w:p>
  </w:footnote>
  <w:footnote w:type="continuationSeparator" w:id="0">
    <w:p w:rsidR="00612F16" w:rsidRDefault="00612F16" w:rsidP="00372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4E2D"/>
    <w:multiLevelType w:val="hybridMultilevel"/>
    <w:tmpl w:val="BB122984"/>
    <w:lvl w:ilvl="0" w:tplc="E380596A">
      <w:start w:val="1"/>
      <w:numFmt w:val="decimal"/>
      <w:lvlText w:val="%1-"/>
      <w:lvlJc w:val="left"/>
      <w:pPr>
        <w:ind w:left="720" w:hanging="360"/>
      </w:pPr>
      <w:rPr>
        <w:rFonts w:eastAsiaTheme="minorHAns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792DBE"/>
    <w:multiLevelType w:val="hybridMultilevel"/>
    <w:tmpl w:val="2F8C83FE"/>
    <w:lvl w:ilvl="0" w:tplc="63E60278">
      <w:start w:val="162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A6"/>
    <w:rsid w:val="00020694"/>
    <w:rsid w:val="00021A63"/>
    <w:rsid w:val="00030188"/>
    <w:rsid w:val="00032BF2"/>
    <w:rsid w:val="00033AB3"/>
    <w:rsid w:val="00037E11"/>
    <w:rsid w:val="000422A4"/>
    <w:rsid w:val="000449AA"/>
    <w:rsid w:val="00046B05"/>
    <w:rsid w:val="00054F29"/>
    <w:rsid w:val="000632F0"/>
    <w:rsid w:val="00073735"/>
    <w:rsid w:val="00074D07"/>
    <w:rsid w:val="00080EC5"/>
    <w:rsid w:val="000A2258"/>
    <w:rsid w:val="000A4CA1"/>
    <w:rsid w:val="000B0232"/>
    <w:rsid w:val="000B3DAE"/>
    <w:rsid w:val="000B55E8"/>
    <w:rsid w:val="000E2897"/>
    <w:rsid w:val="000E6867"/>
    <w:rsid w:val="000E7089"/>
    <w:rsid w:val="000F0471"/>
    <w:rsid w:val="000F3C24"/>
    <w:rsid w:val="000F75C3"/>
    <w:rsid w:val="00103630"/>
    <w:rsid w:val="0010367C"/>
    <w:rsid w:val="00103F5A"/>
    <w:rsid w:val="001052E0"/>
    <w:rsid w:val="00146A8C"/>
    <w:rsid w:val="00147426"/>
    <w:rsid w:val="00147A5D"/>
    <w:rsid w:val="00150BF3"/>
    <w:rsid w:val="00157172"/>
    <w:rsid w:val="001644AC"/>
    <w:rsid w:val="0016535F"/>
    <w:rsid w:val="00170567"/>
    <w:rsid w:val="001718DE"/>
    <w:rsid w:val="00190FB9"/>
    <w:rsid w:val="00196B92"/>
    <w:rsid w:val="001B5D65"/>
    <w:rsid w:val="001C2980"/>
    <w:rsid w:val="001C32B8"/>
    <w:rsid w:val="001C419C"/>
    <w:rsid w:val="001D0A32"/>
    <w:rsid w:val="001E19C9"/>
    <w:rsid w:val="001E6A91"/>
    <w:rsid w:val="001F348E"/>
    <w:rsid w:val="00202893"/>
    <w:rsid w:val="00203265"/>
    <w:rsid w:val="00205A9F"/>
    <w:rsid w:val="00213FB0"/>
    <w:rsid w:val="002225B1"/>
    <w:rsid w:val="002240B7"/>
    <w:rsid w:val="0023072F"/>
    <w:rsid w:val="00230BF0"/>
    <w:rsid w:val="0023129E"/>
    <w:rsid w:val="00234EF9"/>
    <w:rsid w:val="002379B5"/>
    <w:rsid w:val="00237E3F"/>
    <w:rsid w:val="002404B9"/>
    <w:rsid w:val="002459A5"/>
    <w:rsid w:val="00246797"/>
    <w:rsid w:val="0025515D"/>
    <w:rsid w:val="00257627"/>
    <w:rsid w:val="0027693B"/>
    <w:rsid w:val="00281E88"/>
    <w:rsid w:val="00286781"/>
    <w:rsid w:val="002903CC"/>
    <w:rsid w:val="002955D5"/>
    <w:rsid w:val="002B2E2E"/>
    <w:rsid w:val="002C3D00"/>
    <w:rsid w:val="002C6FE5"/>
    <w:rsid w:val="002C733A"/>
    <w:rsid w:val="002D1FA8"/>
    <w:rsid w:val="002D3050"/>
    <w:rsid w:val="002E62B1"/>
    <w:rsid w:val="002F4FDB"/>
    <w:rsid w:val="00300A59"/>
    <w:rsid w:val="0030635B"/>
    <w:rsid w:val="00311339"/>
    <w:rsid w:val="00326455"/>
    <w:rsid w:val="003269F7"/>
    <w:rsid w:val="00327DE5"/>
    <w:rsid w:val="00352686"/>
    <w:rsid w:val="00355A99"/>
    <w:rsid w:val="00356F0C"/>
    <w:rsid w:val="00360753"/>
    <w:rsid w:val="00361783"/>
    <w:rsid w:val="00361E63"/>
    <w:rsid w:val="00362E63"/>
    <w:rsid w:val="0036603B"/>
    <w:rsid w:val="003718FC"/>
    <w:rsid w:val="00372307"/>
    <w:rsid w:val="00387943"/>
    <w:rsid w:val="00395123"/>
    <w:rsid w:val="00397B76"/>
    <w:rsid w:val="003A26A6"/>
    <w:rsid w:val="003B3469"/>
    <w:rsid w:val="003C05A8"/>
    <w:rsid w:val="003C31C4"/>
    <w:rsid w:val="003C39F7"/>
    <w:rsid w:val="003C55A9"/>
    <w:rsid w:val="003D239D"/>
    <w:rsid w:val="003E1201"/>
    <w:rsid w:val="003E6588"/>
    <w:rsid w:val="003E75BA"/>
    <w:rsid w:val="00414465"/>
    <w:rsid w:val="00426488"/>
    <w:rsid w:val="004329E4"/>
    <w:rsid w:val="00451944"/>
    <w:rsid w:val="00454779"/>
    <w:rsid w:val="004723BB"/>
    <w:rsid w:val="00472D5B"/>
    <w:rsid w:val="004805E0"/>
    <w:rsid w:val="0049481D"/>
    <w:rsid w:val="004A316B"/>
    <w:rsid w:val="004A416C"/>
    <w:rsid w:val="004A556A"/>
    <w:rsid w:val="004B4C2F"/>
    <w:rsid w:val="004B70CF"/>
    <w:rsid w:val="004C1A2F"/>
    <w:rsid w:val="004C2207"/>
    <w:rsid w:val="004C62A1"/>
    <w:rsid w:val="004D016C"/>
    <w:rsid w:val="004D417C"/>
    <w:rsid w:val="004D76D1"/>
    <w:rsid w:val="004E2EF6"/>
    <w:rsid w:val="004F0009"/>
    <w:rsid w:val="004F400D"/>
    <w:rsid w:val="004F734E"/>
    <w:rsid w:val="004F7A7A"/>
    <w:rsid w:val="0050267B"/>
    <w:rsid w:val="005178A6"/>
    <w:rsid w:val="00527AB1"/>
    <w:rsid w:val="00534422"/>
    <w:rsid w:val="00534952"/>
    <w:rsid w:val="005372CD"/>
    <w:rsid w:val="0054001E"/>
    <w:rsid w:val="00553415"/>
    <w:rsid w:val="0055600E"/>
    <w:rsid w:val="005603CC"/>
    <w:rsid w:val="005907C2"/>
    <w:rsid w:val="005959B7"/>
    <w:rsid w:val="005960DD"/>
    <w:rsid w:val="00597D5F"/>
    <w:rsid w:val="005A5214"/>
    <w:rsid w:val="005A632F"/>
    <w:rsid w:val="005B4DF0"/>
    <w:rsid w:val="005C1F4B"/>
    <w:rsid w:val="005C3785"/>
    <w:rsid w:val="005C6F50"/>
    <w:rsid w:val="005C74EF"/>
    <w:rsid w:val="005D6EB8"/>
    <w:rsid w:val="005E0FF3"/>
    <w:rsid w:val="005E17F6"/>
    <w:rsid w:val="005E2AAB"/>
    <w:rsid w:val="006020F5"/>
    <w:rsid w:val="00606F14"/>
    <w:rsid w:val="0060779A"/>
    <w:rsid w:val="00612F16"/>
    <w:rsid w:val="00615942"/>
    <w:rsid w:val="0062245D"/>
    <w:rsid w:val="00624523"/>
    <w:rsid w:val="006264D6"/>
    <w:rsid w:val="00636CDC"/>
    <w:rsid w:val="00637567"/>
    <w:rsid w:val="006406C7"/>
    <w:rsid w:val="006543C2"/>
    <w:rsid w:val="00655424"/>
    <w:rsid w:val="00657305"/>
    <w:rsid w:val="00660FC7"/>
    <w:rsid w:val="00664518"/>
    <w:rsid w:val="0068434D"/>
    <w:rsid w:val="00685938"/>
    <w:rsid w:val="00693EE3"/>
    <w:rsid w:val="00696321"/>
    <w:rsid w:val="006A1FCB"/>
    <w:rsid w:val="006A4D7C"/>
    <w:rsid w:val="006B58B4"/>
    <w:rsid w:val="006C0563"/>
    <w:rsid w:val="006D3E49"/>
    <w:rsid w:val="006E37BE"/>
    <w:rsid w:val="00702529"/>
    <w:rsid w:val="00705C0A"/>
    <w:rsid w:val="00711AEC"/>
    <w:rsid w:val="00722FFE"/>
    <w:rsid w:val="00723DC2"/>
    <w:rsid w:val="00734B6D"/>
    <w:rsid w:val="0073565E"/>
    <w:rsid w:val="00752FAE"/>
    <w:rsid w:val="0075487B"/>
    <w:rsid w:val="00756E23"/>
    <w:rsid w:val="00757746"/>
    <w:rsid w:val="00765B55"/>
    <w:rsid w:val="00765EBF"/>
    <w:rsid w:val="00772370"/>
    <w:rsid w:val="007731E5"/>
    <w:rsid w:val="00777225"/>
    <w:rsid w:val="00790F09"/>
    <w:rsid w:val="00792CC5"/>
    <w:rsid w:val="007C0F3E"/>
    <w:rsid w:val="007F603C"/>
    <w:rsid w:val="007F69C6"/>
    <w:rsid w:val="00803013"/>
    <w:rsid w:val="00804258"/>
    <w:rsid w:val="00805658"/>
    <w:rsid w:val="00806896"/>
    <w:rsid w:val="00822370"/>
    <w:rsid w:val="008265B3"/>
    <w:rsid w:val="00831654"/>
    <w:rsid w:val="0083211E"/>
    <w:rsid w:val="00832737"/>
    <w:rsid w:val="00832FFF"/>
    <w:rsid w:val="0083363D"/>
    <w:rsid w:val="0083462B"/>
    <w:rsid w:val="008678D7"/>
    <w:rsid w:val="008766A4"/>
    <w:rsid w:val="00880638"/>
    <w:rsid w:val="00880F35"/>
    <w:rsid w:val="00891D76"/>
    <w:rsid w:val="008A0529"/>
    <w:rsid w:val="008A4D98"/>
    <w:rsid w:val="008A5133"/>
    <w:rsid w:val="008A7AB4"/>
    <w:rsid w:val="008B2599"/>
    <w:rsid w:val="008B3BD2"/>
    <w:rsid w:val="008C4DC0"/>
    <w:rsid w:val="008C686E"/>
    <w:rsid w:val="008F51BD"/>
    <w:rsid w:val="00915991"/>
    <w:rsid w:val="009159EA"/>
    <w:rsid w:val="00924F2E"/>
    <w:rsid w:val="0093130E"/>
    <w:rsid w:val="009360FE"/>
    <w:rsid w:val="00937F9F"/>
    <w:rsid w:val="009453E4"/>
    <w:rsid w:val="00952BFE"/>
    <w:rsid w:val="00956612"/>
    <w:rsid w:val="009605BA"/>
    <w:rsid w:val="0097481A"/>
    <w:rsid w:val="00975169"/>
    <w:rsid w:val="00975651"/>
    <w:rsid w:val="0097696D"/>
    <w:rsid w:val="00983556"/>
    <w:rsid w:val="009844D2"/>
    <w:rsid w:val="009865D2"/>
    <w:rsid w:val="009901E4"/>
    <w:rsid w:val="00993904"/>
    <w:rsid w:val="009A0BAC"/>
    <w:rsid w:val="009A775F"/>
    <w:rsid w:val="009B4710"/>
    <w:rsid w:val="009C3234"/>
    <w:rsid w:val="009C3AA6"/>
    <w:rsid w:val="009C4ED1"/>
    <w:rsid w:val="009D0378"/>
    <w:rsid w:val="009D519C"/>
    <w:rsid w:val="009D6201"/>
    <w:rsid w:val="009D6D61"/>
    <w:rsid w:val="009F133E"/>
    <w:rsid w:val="009F1C84"/>
    <w:rsid w:val="009F1FC7"/>
    <w:rsid w:val="009F54D1"/>
    <w:rsid w:val="009F62A1"/>
    <w:rsid w:val="00A005AB"/>
    <w:rsid w:val="00A13EF0"/>
    <w:rsid w:val="00A175AA"/>
    <w:rsid w:val="00A17A2C"/>
    <w:rsid w:val="00A24332"/>
    <w:rsid w:val="00A413D6"/>
    <w:rsid w:val="00A41650"/>
    <w:rsid w:val="00A425B0"/>
    <w:rsid w:val="00A569D8"/>
    <w:rsid w:val="00A66BCB"/>
    <w:rsid w:val="00A7339E"/>
    <w:rsid w:val="00A852B1"/>
    <w:rsid w:val="00A8762E"/>
    <w:rsid w:val="00A90425"/>
    <w:rsid w:val="00A92FDC"/>
    <w:rsid w:val="00A93999"/>
    <w:rsid w:val="00A9649F"/>
    <w:rsid w:val="00AA38F9"/>
    <w:rsid w:val="00AA6FD5"/>
    <w:rsid w:val="00AB0D40"/>
    <w:rsid w:val="00AB4BB9"/>
    <w:rsid w:val="00AC0F27"/>
    <w:rsid w:val="00AD53C6"/>
    <w:rsid w:val="00AE6185"/>
    <w:rsid w:val="00B00649"/>
    <w:rsid w:val="00B01DC7"/>
    <w:rsid w:val="00B1337F"/>
    <w:rsid w:val="00B142E0"/>
    <w:rsid w:val="00B2113E"/>
    <w:rsid w:val="00B277B9"/>
    <w:rsid w:val="00B310BF"/>
    <w:rsid w:val="00B31F1E"/>
    <w:rsid w:val="00B42E51"/>
    <w:rsid w:val="00B439E7"/>
    <w:rsid w:val="00B46804"/>
    <w:rsid w:val="00B55DCA"/>
    <w:rsid w:val="00B66C16"/>
    <w:rsid w:val="00B66D8A"/>
    <w:rsid w:val="00B71886"/>
    <w:rsid w:val="00B77ED5"/>
    <w:rsid w:val="00B9435F"/>
    <w:rsid w:val="00B94B83"/>
    <w:rsid w:val="00B96DFD"/>
    <w:rsid w:val="00BA1476"/>
    <w:rsid w:val="00BB185A"/>
    <w:rsid w:val="00BB684C"/>
    <w:rsid w:val="00BC5189"/>
    <w:rsid w:val="00BE2A53"/>
    <w:rsid w:val="00C0564E"/>
    <w:rsid w:val="00C113FF"/>
    <w:rsid w:val="00C158A1"/>
    <w:rsid w:val="00C2149E"/>
    <w:rsid w:val="00C240DE"/>
    <w:rsid w:val="00C25418"/>
    <w:rsid w:val="00C258F2"/>
    <w:rsid w:val="00C26B06"/>
    <w:rsid w:val="00C4197D"/>
    <w:rsid w:val="00C579DE"/>
    <w:rsid w:val="00C637CA"/>
    <w:rsid w:val="00C64655"/>
    <w:rsid w:val="00C701E8"/>
    <w:rsid w:val="00C726E8"/>
    <w:rsid w:val="00C72F74"/>
    <w:rsid w:val="00C76C29"/>
    <w:rsid w:val="00C819CB"/>
    <w:rsid w:val="00C910FC"/>
    <w:rsid w:val="00CA0CED"/>
    <w:rsid w:val="00CA6457"/>
    <w:rsid w:val="00CB2AB7"/>
    <w:rsid w:val="00CC5867"/>
    <w:rsid w:val="00CD2410"/>
    <w:rsid w:val="00CD56D7"/>
    <w:rsid w:val="00CE4CA1"/>
    <w:rsid w:val="00D035FB"/>
    <w:rsid w:val="00D042FA"/>
    <w:rsid w:val="00D07468"/>
    <w:rsid w:val="00D11D52"/>
    <w:rsid w:val="00D202D9"/>
    <w:rsid w:val="00D206E1"/>
    <w:rsid w:val="00D278AE"/>
    <w:rsid w:val="00D36B2B"/>
    <w:rsid w:val="00D40FE3"/>
    <w:rsid w:val="00D46362"/>
    <w:rsid w:val="00D515CB"/>
    <w:rsid w:val="00D535B0"/>
    <w:rsid w:val="00D5739C"/>
    <w:rsid w:val="00D64AAF"/>
    <w:rsid w:val="00D64CD3"/>
    <w:rsid w:val="00D8192B"/>
    <w:rsid w:val="00D8607B"/>
    <w:rsid w:val="00D93879"/>
    <w:rsid w:val="00D951BA"/>
    <w:rsid w:val="00D972A0"/>
    <w:rsid w:val="00DA00E3"/>
    <w:rsid w:val="00DA02FD"/>
    <w:rsid w:val="00DA184B"/>
    <w:rsid w:val="00DA2EE6"/>
    <w:rsid w:val="00DB26DC"/>
    <w:rsid w:val="00DB3692"/>
    <w:rsid w:val="00DB76F2"/>
    <w:rsid w:val="00DC2F1C"/>
    <w:rsid w:val="00DC7990"/>
    <w:rsid w:val="00DD2335"/>
    <w:rsid w:val="00DE051C"/>
    <w:rsid w:val="00DE0ADD"/>
    <w:rsid w:val="00DE18CC"/>
    <w:rsid w:val="00DE1AE4"/>
    <w:rsid w:val="00DE1E10"/>
    <w:rsid w:val="00DE2EA0"/>
    <w:rsid w:val="00DE5E1C"/>
    <w:rsid w:val="00E10367"/>
    <w:rsid w:val="00E12293"/>
    <w:rsid w:val="00E134E0"/>
    <w:rsid w:val="00E15AF7"/>
    <w:rsid w:val="00E2084A"/>
    <w:rsid w:val="00E221A4"/>
    <w:rsid w:val="00E2541A"/>
    <w:rsid w:val="00E25FF1"/>
    <w:rsid w:val="00E4155C"/>
    <w:rsid w:val="00E42648"/>
    <w:rsid w:val="00E43642"/>
    <w:rsid w:val="00E43820"/>
    <w:rsid w:val="00E50473"/>
    <w:rsid w:val="00E52894"/>
    <w:rsid w:val="00E543A7"/>
    <w:rsid w:val="00E615C4"/>
    <w:rsid w:val="00E73C51"/>
    <w:rsid w:val="00E73EA5"/>
    <w:rsid w:val="00E75818"/>
    <w:rsid w:val="00E8563B"/>
    <w:rsid w:val="00E87CD4"/>
    <w:rsid w:val="00E908D7"/>
    <w:rsid w:val="00E91AE9"/>
    <w:rsid w:val="00E92B40"/>
    <w:rsid w:val="00E97E9B"/>
    <w:rsid w:val="00EA3E93"/>
    <w:rsid w:val="00EB7331"/>
    <w:rsid w:val="00EC25AA"/>
    <w:rsid w:val="00ED7E1A"/>
    <w:rsid w:val="00EF4F31"/>
    <w:rsid w:val="00EF5742"/>
    <w:rsid w:val="00EF66AD"/>
    <w:rsid w:val="00F01E12"/>
    <w:rsid w:val="00F04675"/>
    <w:rsid w:val="00F05205"/>
    <w:rsid w:val="00F1453F"/>
    <w:rsid w:val="00F31AB7"/>
    <w:rsid w:val="00F32664"/>
    <w:rsid w:val="00F3553C"/>
    <w:rsid w:val="00F41435"/>
    <w:rsid w:val="00F445D4"/>
    <w:rsid w:val="00F61197"/>
    <w:rsid w:val="00F64764"/>
    <w:rsid w:val="00F71470"/>
    <w:rsid w:val="00F7356A"/>
    <w:rsid w:val="00F76490"/>
    <w:rsid w:val="00F77E55"/>
    <w:rsid w:val="00F81BA4"/>
    <w:rsid w:val="00F84BEB"/>
    <w:rsid w:val="00F90764"/>
    <w:rsid w:val="00F975F6"/>
    <w:rsid w:val="00FA7482"/>
    <w:rsid w:val="00FB00DC"/>
    <w:rsid w:val="00FB143E"/>
    <w:rsid w:val="00FB2A1A"/>
    <w:rsid w:val="00FB6650"/>
    <w:rsid w:val="00FC06A4"/>
    <w:rsid w:val="00FD00CF"/>
    <w:rsid w:val="00FD0672"/>
    <w:rsid w:val="00FD1D65"/>
    <w:rsid w:val="00FD5957"/>
    <w:rsid w:val="00FE2A1F"/>
    <w:rsid w:val="00FE4F1C"/>
    <w:rsid w:val="00FE54C6"/>
    <w:rsid w:val="00FF3D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C2"/>
  </w:style>
  <w:style w:type="paragraph" w:styleId="Ttulo2">
    <w:name w:val="heading 2"/>
    <w:basedOn w:val="Normal"/>
    <w:next w:val="Normal"/>
    <w:link w:val="Ttulo2Car"/>
    <w:uiPriority w:val="9"/>
    <w:semiHidden/>
    <w:unhideWhenUsed/>
    <w:qFormat/>
    <w:rsid w:val="00DA2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3B3469"/>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3B3469"/>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paragraph" w:styleId="Ttulo5">
    <w:name w:val="heading 5"/>
    <w:basedOn w:val="Normal"/>
    <w:next w:val="Normal"/>
    <w:link w:val="Ttulo5Car"/>
    <w:uiPriority w:val="9"/>
    <w:semiHidden/>
    <w:unhideWhenUsed/>
    <w:qFormat/>
    <w:rsid w:val="008F51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D7E1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F54D1"/>
    <w:pPr>
      <w:ind w:left="720"/>
      <w:contextualSpacing/>
    </w:pPr>
  </w:style>
  <w:style w:type="character" w:customStyle="1" w:styleId="element-citation">
    <w:name w:val="element-citation"/>
    <w:basedOn w:val="Fuentedeprrafopredeter"/>
    <w:rsid w:val="003B3469"/>
  </w:style>
  <w:style w:type="character" w:customStyle="1" w:styleId="ref-journal">
    <w:name w:val="ref-journal"/>
    <w:basedOn w:val="Fuentedeprrafopredeter"/>
    <w:rsid w:val="003B3469"/>
  </w:style>
  <w:style w:type="character" w:customStyle="1" w:styleId="ref-vol">
    <w:name w:val="ref-vol"/>
    <w:basedOn w:val="Fuentedeprrafopredeter"/>
    <w:rsid w:val="003B3469"/>
  </w:style>
  <w:style w:type="character" w:customStyle="1" w:styleId="nowrap">
    <w:name w:val="nowrap"/>
    <w:basedOn w:val="Fuentedeprrafopredeter"/>
    <w:rsid w:val="003B3469"/>
  </w:style>
  <w:style w:type="character" w:styleId="Hipervnculo">
    <w:name w:val="Hyperlink"/>
    <w:basedOn w:val="Fuentedeprrafopredeter"/>
    <w:uiPriority w:val="99"/>
    <w:semiHidden/>
    <w:unhideWhenUsed/>
    <w:rsid w:val="003B3469"/>
    <w:rPr>
      <w:color w:val="0000FF"/>
      <w:u w:val="single"/>
    </w:rPr>
  </w:style>
  <w:style w:type="character" w:customStyle="1" w:styleId="Ttulo3Car">
    <w:name w:val="Título 3 Car"/>
    <w:basedOn w:val="Fuentedeprrafopredeter"/>
    <w:link w:val="Ttulo3"/>
    <w:uiPriority w:val="9"/>
    <w:rsid w:val="003B3469"/>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3B3469"/>
    <w:rPr>
      <w:rFonts w:ascii="Times New Roman" w:eastAsia="Times New Roman" w:hAnsi="Times New Roman" w:cs="Times New Roman"/>
      <w:b/>
      <w:bCs/>
      <w:sz w:val="24"/>
      <w:szCs w:val="24"/>
      <w:lang w:val="es-MX" w:eastAsia="es-MX"/>
    </w:rPr>
  </w:style>
  <w:style w:type="character" w:customStyle="1" w:styleId="Ttulo2Car">
    <w:name w:val="Título 2 Car"/>
    <w:basedOn w:val="Fuentedeprrafopredeter"/>
    <w:link w:val="Ttulo2"/>
    <w:uiPriority w:val="9"/>
    <w:semiHidden/>
    <w:rsid w:val="00DA2EE6"/>
    <w:rPr>
      <w:rFonts w:asciiTheme="majorHAnsi" w:eastAsiaTheme="majorEastAsia" w:hAnsiTheme="majorHAnsi" w:cstheme="majorBidi"/>
      <w:b/>
      <w:bCs/>
      <w:color w:val="5B9BD5" w:themeColor="accent1"/>
      <w:sz w:val="26"/>
      <w:szCs w:val="26"/>
    </w:rPr>
  </w:style>
  <w:style w:type="character" w:styleId="nfasis">
    <w:name w:val="Emphasis"/>
    <w:basedOn w:val="Fuentedeprrafopredeter"/>
    <w:uiPriority w:val="20"/>
    <w:qFormat/>
    <w:rsid w:val="00DA2EE6"/>
    <w:rPr>
      <w:i/>
      <w:iCs/>
    </w:rPr>
  </w:style>
  <w:style w:type="paragraph" w:styleId="Encabezado">
    <w:name w:val="header"/>
    <w:basedOn w:val="Normal"/>
    <w:link w:val="EncabezadoCar"/>
    <w:uiPriority w:val="99"/>
    <w:unhideWhenUsed/>
    <w:rsid w:val="00372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307"/>
  </w:style>
  <w:style w:type="paragraph" w:styleId="Piedepgina">
    <w:name w:val="footer"/>
    <w:basedOn w:val="Normal"/>
    <w:link w:val="PiedepginaCar"/>
    <w:uiPriority w:val="99"/>
    <w:unhideWhenUsed/>
    <w:rsid w:val="00372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2307"/>
  </w:style>
  <w:style w:type="character" w:customStyle="1" w:styleId="Ttulo5Car">
    <w:name w:val="Título 5 Car"/>
    <w:basedOn w:val="Fuentedeprrafopredeter"/>
    <w:link w:val="Ttulo5"/>
    <w:uiPriority w:val="9"/>
    <w:semiHidden/>
    <w:rsid w:val="008F51BD"/>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C2"/>
  </w:style>
  <w:style w:type="paragraph" w:styleId="Ttulo2">
    <w:name w:val="heading 2"/>
    <w:basedOn w:val="Normal"/>
    <w:next w:val="Normal"/>
    <w:link w:val="Ttulo2Car"/>
    <w:uiPriority w:val="9"/>
    <w:semiHidden/>
    <w:unhideWhenUsed/>
    <w:qFormat/>
    <w:rsid w:val="00DA2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3B3469"/>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3B3469"/>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paragraph" w:styleId="Ttulo5">
    <w:name w:val="heading 5"/>
    <w:basedOn w:val="Normal"/>
    <w:next w:val="Normal"/>
    <w:link w:val="Ttulo5Car"/>
    <w:uiPriority w:val="9"/>
    <w:semiHidden/>
    <w:unhideWhenUsed/>
    <w:qFormat/>
    <w:rsid w:val="008F51B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D7E1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F54D1"/>
    <w:pPr>
      <w:ind w:left="720"/>
      <w:contextualSpacing/>
    </w:pPr>
  </w:style>
  <w:style w:type="character" w:customStyle="1" w:styleId="element-citation">
    <w:name w:val="element-citation"/>
    <w:basedOn w:val="Fuentedeprrafopredeter"/>
    <w:rsid w:val="003B3469"/>
  </w:style>
  <w:style w:type="character" w:customStyle="1" w:styleId="ref-journal">
    <w:name w:val="ref-journal"/>
    <w:basedOn w:val="Fuentedeprrafopredeter"/>
    <w:rsid w:val="003B3469"/>
  </w:style>
  <w:style w:type="character" w:customStyle="1" w:styleId="ref-vol">
    <w:name w:val="ref-vol"/>
    <w:basedOn w:val="Fuentedeprrafopredeter"/>
    <w:rsid w:val="003B3469"/>
  </w:style>
  <w:style w:type="character" w:customStyle="1" w:styleId="nowrap">
    <w:name w:val="nowrap"/>
    <w:basedOn w:val="Fuentedeprrafopredeter"/>
    <w:rsid w:val="003B3469"/>
  </w:style>
  <w:style w:type="character" w:styleId="Hipervnculo">
    <w:name w:val="Hyperlink"/>
    <w:basedOn w:val="Fuentedeprrafopredeter"/>
    <w:uiPriority w:val="99"/>
    <w:semiHidden/>
    <w:unhideWhenUsed/>
    <w:rsid w:val="003B3469"/>
    <w:rPr>
      <w:color w:val="0000FF"/>
      <w:u w:val="single"/>
    </w:rPr>
  </w:style>
  <w:style w:type="character" w:customStyle="1" w:styleId="Ttulo3Car">
    <w:name w:val="Título 3 Car"/>
    <w:basedOn w:val="Fuentedeprrafopredeter"/>
    <w:link w:val="Ttulo3"/>
    <w:uiPriority w:val="9"/>
    <w:rsid w:val="003B3469"/>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3B3469"/>
    <w:rPr>
      <w:rFonts w:ascii="Times New Roman" w:eastAsia="Times New Roman" w:hAnsi="Times New Roman" w:cs="Times New Roman"/>
      <w:b/>
      <w:bCs/>
      <w:sz w:val="24"/>
      <w:szCs w:val="24"/>
      <w:lang w:val="es-MX" w:eastAsia="es-MX"/>
    </w:rPr>
  </w:style>
  <w:style w:type="character" w:customStyle="1" w:styleId="Ttulo2Car">
    <w:name w:val="Título 2 Car"/>
    <w:basedOn w:val="Fuentedeprrafopredeter"/>
    <w:link w:val="Ttulo2"/>
    <w:uiPriority w:val="9"/>
    <w:semiHidden/>
    <w:rsid w:val="00DA2EE6"/>
    <w:rPr>
      <w:rFonts w:asciiTheme="majorHAnsi" w:eastAsiaTheme="majorEastAsia" w:hAnsiTheme="majorHAnsi" w:cstheme="majorBidi"/>
      <w:b/>
      <w:bCs/>
      <w:color w:val="5B9BD5" w:themeColor="accent1"/>
      <w:sz w:val="26"/>
      <w:szCs w:val="26"/>
    </w:rPr>
  </w:style>
  <w:style w:type="character" w:styleId="nfasis">
    <w:name w:val="Emphasis"/>
    <w:basedOn w:val="Fuentedeprrafopredeter"/>
    <w:uiPriority w:val="20"/>
    <w:qFormat/>
    <w:rsid w:val="00DA2EE6"/>
    <w:rPr>
      <w:i/>
      <w:iCs/>
    </w:rPr>
  </w:style>
  <w:style w:type="paragraph" w:styleId="Encabezado">
    <w:name w:val="header"/>
    <w:basedOn w:val="Normal"/>
    <w:link w:val="EncabezadoCar"/>
    <w:uiPriority w:val="99"/>
    <w:unhideWhenUsed/>
    <w:rsid w:val="00372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307"/>
  </w:style>
  <w:style w:type="paragraph" w:styleId="Piedepgina">
    <w:name w:val="footer"/>
    <w:basedOn w:val="Normal"/>
    <w:link w:val="PiedepginaCar"/>
    <w:uiPriority w:val="99"/>
    <w:unhideWhenUsed/>
    <w:rsid w:val="00372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2307"/>
  </w:style>
  <w:style w:type="character" w:customStyle="1" w:styleId="Ttulo5Car">
    <w:name w:val="Título 5 Car"/>
    <w:basedOn w:val="Fuentedeprrafopredeter"/>
    <w:link w:val="Ttulo5"/>
    <w:uiPriority w:val="9"/>
    <w:semiHidden/>
    <w:rsid w:val="008F51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342">
      <w:bodyDiv w:val="1"/>
      <w:marLeft w:val="0"/>
      <w:marRight w:val="0"/>
      <w:marTop w:val="0"/>
      <w:marBottom w:val="0"/>
      <w:divBdr>
        <w:top w:val="none" w:sz="0" w:space="0" w:color="auto"/>
        <w:left w:val="none" w:sz="0" w:space="0" w:color="auto"/>
        <w:bottom w:val="none" w:sz="0" w:space="0" w:color="auto"/>
        <w:right w:val="none" w:sz="0" w:space="0" w:color="auto"/>
      </w:divBdr>
      <w:divsChild>
        <w:div w:id="1027373441">
          <w:marLeft w:val="0"/>
          <w:marRight w:val="0"/>
          <w:marTop w:val="0"/>
          <w:marBottom w:val="0"/>
          <w:divBdr>
            <w:top w:val="none" w:sz="0" w:space="0" w:color="auto"/>
            <w:left w:val="none" w:sz="0" w:space="0" w:color="auto"/>
            <w:bottom w:val="none" w:sz="0" w:space="0" w:color="auto"/>
            <w:right w:val="none" w:sz="0" w:space="0" w:color="auto"/>
          </w:divBdr>
        </w:div>
      </w:divsChild>
    </w:div>
    <w:div w:id="67272547">
      <w:bodyDiv w:val="1"/>
      <w:marLeft w:val="0"/>
      <w:marRight w:val="0"/>
      <w:marTop w:val="0"/>
      <w:marBottom w:val="0"/>
      <w:divBdr>
        <w:top w:val="none" w:sz="0" w:space="0" w:color="auto"/>
        <w:left w:val="none" w:sz="0" w:space="0" w:color="auto"/>
        <w:bottom w:val="none" w:sz="0" w:space="0" w:color="auto"/>
        <w:right w:val="none" w:sz="0" w:space="0" w:color="auto"/>
      </w:divBdr>
    </w:div>
    <w:div w:id="302079945">
      <w:bodyDiv w:val="1"/>
      <w:marLeft w:val="0"/>
      <w:marRight w:val="0"/>
      <w:marTop w:val="0"/>
      <w:marBottom w:val="0"/>
      <w:divBdr>
        <w:top w:val="none" w:sz="0" w:space="0" w:color="auto"/>
        <w:left w:val="none" w:sz="0" w:space="0" w:color="auto"/>
        <w:bottom w:val="none" w:sz="0" w:space="0" w:color="auto"/>
        <w:right w:val="none" w:sz="0" w:space="0" w:color="auto"/>
      </w:divBdr>
    </w:div>
    <w:div w:id="340740269">
      <w:bodyDiv w:val="1"/>
      <w:marLeft w:val="0"/>
      <w:marRight w:val="0"/>
      <w:marTop w:val="0"/>
      <w:marBottom w:val="0"/>
      <w:divBdr>
        <w:top w:val="none" w:sz="0" w:space="0" w:color="auto"/>
        <w:left w:val="none" w:sz="0" w:space="0" w:color="auto"/>
        <w:bottom w:val="none" w:sz="0" w:space="0" w:color="auto"/>
        <w:right w:val="none" w:sz="0" w:space="0" w:color="auto"/>
      </w:divBdr>
      <w:divsChild>
        <w:div w:id="1309627158">
          <w:marLeft w:val="10"/>
          <w:marRight w:val="0"/>
          <w:marTop w:val="675"/>
          <w:marBottom w:val="0"/>
          <w:divBdr>
            <w:top w:val="none" w:sz="0" w:space="0" w:color="auto"/>
            <w:left w:val="none" w:sz="0" w:space="0" w:color="auto"/>
            <w:bottom w:val="none" w:sz="0" w:space="0" w:color="auto"/>
            <w:right w:val="none" w:sz="0" w:space="0" w:color="auto"/>
          </w:divBdr>
          <w:divsChild>
            <w:div w:id="1889606341">
              <w:marLeft w:val="0"/>
              <w:marRight w:val="0"/>
              <w:marTop w:val="0"/>
              <w:marBottom w:val="150"/>
              <w:divBdr>
                <w:top w:val="none" w:sz="0" w:space="0" w:color="auto"/>
                <w:left w:val="none" w:sz="0" w:space="0" w:color="auto"/>
                <w:bottom w:val="none" w:sz="0" w:space="0" w:color="auto"/>
                <w:right w:val="none" w:sz="0" w:space="0" w:color="auto"/>
              </w:divBdr>
            </w:div>
            <w:div w:id="213660594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68556300">
      <w:bodyDiv w:val="1"/>
      <w:marLeft w:val="0"/>
      <w:marRight w:val="0"/>
      <w:marTop w:val="0"/>
      <w:marBottom w:val="0"/>
      <w:divBdr>
        <w:top w:val="none" w:sz="0" w:space="0" w:color="auto"/>
        <w:left w:val="none" w:sz="0" w:space="0" w:color="auto"/>
        <w:bottom w:val="none" w:sz="0" w:space="0" w:color="auto"/>
        <w:right w:val="none" w:sz="0" w:space="0" w:color="auto"/>
      </w:divBdr>
    </w:div>
    <w:div w:id="674652663">
      <w:bodyDiv w:val="1"/>
      <w:marLeft w:val="0"/>
      <w:marRight w:val="0"/>
      <w:marTop w:val="0"/>
      <w:marBottom w:val="0"/>
      <w:divBdr>
        <w:top w:val="none" w:sz="0" w:space="0" w:color="auto"/>
        <w:left w:val="none" w:sz="0" w:space="0" w:color="auto"/>
        <w:bottom w:val="none" w:sz="0" w:space="0" w:color="auto"/>
        <w:right w:val="none" w:sz="0" w:space="0" w:color="auto"/>
      </w:divBdr>
    </w:div>
    <w:div w:id="877937981">
      <w:bodyDiv w:val="1"/>
      <w:marLeft w:val="0"/>
      <w:marRight w:val="0"/>
      <w:marTop w:val="0"/>
      <w:marBottom w:val="0"/>
      <w:divBdr>
        <w:top w:val="none" w:sz="0" w:space="0" w:color="auto"/>
        <w:left w:val="none" w:sz="0" w:space="0" w:color="auto"/>
        <w:bottom w:val="none" w:sz="0" w:space="0" w:color="auto"/>
        <w:right w:val="none" w:sz="0" w:space="0" w:color="auto"/>
      </w:divBdr>
      <w:divsChild>
        <w:div w:id="57899601">
          <w:marLeft w:val="0"/>
          <w:marRight w:val="0"/>
          <w:marTop w:val="0"/>
          <w:marBottom w:val="0"/>
          <w:divBdr>
            <w:top w:val="none" w:sz="0" w:space="0" w:color="auto"/>
            <w:left w:val="none" w:sz="0" w:space="0" w:color="auto"/>
            <w:bottom w:val="none" w:sz="0" w:space="0" w:color="auto"/>
            <w:right w:val="none" w:sz="0" w:space="0" w:color="auto"/>
          </w:divBdr>
          <w:divsChild>
            <w:div w:id="932937343">
              <w:marLeft w:val="0"/>
              <w:marRight w:val="0"/>
              <w:marTop w:val="0"/>
              <w:marBottom w:val="0"/>
              <w:divBdr>
                <w:top w:val="none" w:sz="0" w:space="0" w:color="auto"/>
                <w:left w:val="none" w:sz="0" w:space="0" w:color="auto"/>
                <w:bottom w:val="none" w:sz="0" w:space="0" w:color="auto"/>
                <w:right w:val="none" w:sz="0" w:space="0" w:color="auto"/>
              </w:divBdr>
              <w:divsChild>
                <w:div w:id="829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8125">
      <w:bodyDiv w:val="1"/>
      <w:marLeft w:val="0"/>
      <w:marRight w:val="0"/>
      <w:marTop w:val="0"/>
      <w:marBottom w:val="0"/>
      <w:divBdr>
        <w:top w:val="none" w:sz="0" w:space="0" w:color="auto"/>
        <w:left w:val="none" w:sz="0" w:space="0" w:color="auto"/>
        <w:bottom w:val="none" w:sz="0" w:space="0" w:color="auto"/>
        <w:right w:val="none" w:sz="0" w:space="0" w:color="auto"/>
      </w:divBdr>
      <w:divsChild>
        <w:div w:id="463470721">
          <w:marLeft w:val="0"/>
          <w:marRight w:val="0"/>
          <w:marTop w:val="0"/>
          <w:marBottom w:val="0"/>
          <w:divBdr>
            <w:top w:val="none" w:sz="0" w:space="0" w:color="auto"/>
            <w:left w:val="none" w:sz="0" w:space="0" w:color="auto"/>
            <w:bottom w:val="none" w:sz="0" w:space="0" w:color="auto"/>
            <w:right w:val="none" w:sz="0" w:space="0" w:color="auto"/>
          </w:divBdr>
        </w:div>
        <w:div w:id="852959482">
          <w:marLeft w:val="0"/>
          <w:marRight w:val="0"/>
          <w:marTop w:val="0"/>
          <w:marBottom w:val="0"/>
          <w:divBdr>
            <w:top w:val="none" w:sz="0" w:space="0" w:color="auto"/>
            <w:left w:val="none" w:sz="0" w:space="0" w:color="auto"/>
            <w:bottom w:val="none" w:sz="0" w:space="0" w:color="auto"/>
            <w:right w:val="none" w:sz="0" w:space="0" w:color="auto"/>
          </w:divBdr>
          <w:divsChild>
            <w:div w:id="875584550">
              <w:marLeft w:val="0"/>
              <w:marRight w:val="0"/>
              <w:marTop w:val="0"/>
              <w:marBottom w:val="0"/>
              <w:divBdr>
                <w:top w:val="none" w:sz="0" w:space="0" w:color="auto"/>
                <w:left w:val="none" w:sz="0" w:space="0" w:color="auto"/>
                <w:bottom w:val="none" w:sz="0" w:space="0" w:color="auto"/>
                <w:right w:val="none" w:sz="0" w:space="0" w:color="auto"/>
              </w:divBdr>
              <w:divsChild>
                <w:div w:id="1338192556">
                  <w:marLeft w:val="0"/>
                  <w:marRight w:val="0"/>
                  <w:marTop w:val="0"/>
                  <w:marBottom w:val="0"/>
                  <w:divBdr>
                    <w:top w:val="none" w:sz="0" w:space="0" w:color="auto"/>
                    <w:left w:val="none" w:sz="0" w:space="0" w:color="auto"/>
                    <w:bottom w:val="none" w:sz="0" w:space="0" w:color="auto"/>
                    <w:right w:val="none" w:sz="0" w:space="0" w:color="auto"/>
                  </w:divBdr>
                </w:div>
                <w:div w:id="152066937">
                  <w:marLeft w:val="0"/>
                  <w:marRight w:val="0"/>
                  <w:marTop w:val="0"/>
                  <w:marBottom w:val="0"/>
                  <w:divBdr>
                    <w:top w:val="none" w:sz="0" w:space="0" w:color="auto"/>
                    <w:left w:val="none" w:sz="0" w:space="0" w:color="auto"/>
                    <w:bottom w:val="none" w:sz="0" w:space="0" w:color="auto"/>
                    <w:right w:val="none" w:sz="0" w:space="0" w:color="auto"/>
                  </w:divBdr>
                </w:div>
                <w:div w:id="647251595">
                  <w:marLeft w:val="0"/>
                  <w:marRight w:val="0"/>
                  <w:marTop w:val="0"/>
                  <w:marBottom w:val="0"/>
                  <w:divBdr>
                    <w:top w:val="none" w:sz="0" w:space="0" w:color="auto"/>
                    <w:left w:val="none" w:sz="0" w:space="0" w:color="auto"/>
                    <w:bottom w:val="none" w:sz="0" w:space="0" w:color="auto"/>
                    <w:right w:val="none" w:sz="0" w:space="0" w:color="auto"/>
                  </w:divBdr>
                  <w:divsChild>
                    <w:div w:id="1561943338">
                      <w:marLeft w:val="0"/>
                      <w:marRight w:val="0"/>
                      <w:marTop w:val="0"/>
                      <w:marBottom w:val="0"/>
                      <w:divBdr>
                        <w:top w:val="none" w:sz="0" w:space="0" w:color="auto"/>
                        <w:left w:val="none" w:sz="0" w:space="0" w:color="auto"/>
                        <w:bottom w:val="none" w:sz="0" w:space="0" w:color="auto"/>
                        <w:right w:val="none" w:sz="0" w:space="0" w:color="auto"/>
                      </w:divBdr>
                    </w:div>
                  </w:divsChild>
                </w:div>
                <w:div w:id="139621559">
                  <w:marLeft w:val="0"/>
                  <w:marRight w:val="0"/>
                  <w:marTop w:val="0"/>
                  <w:marBottom w:val="0"/>
                  <w:divBdr>
                    <w:top w:val="none" w:sz="0" w:space="0" w:color="auto"/>
                    <w:left w:val="none" w:sz="0" w:space="0" w:color="auto"/>
                    <w:bottom w:val="none" w:sz="0" w:space="0" w:color="auto"/>
                    <w:right w:val="none" w:sz="0" w:space="0" w:color="auto"/>
                  </w:divBdr>
                  <w:divsChild>
                    <w:div w:id="14504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53913">
      <w:bodyDiv w:val="1"/>
      <w:marLeft w:val="0"/>
      <w:marRight w:val="0"/>
      <w:marTop w:val="0"/>
      <w:marBottom w:val="0"/>
      <w:divBdr>
        <w:top w:val="none" w:sz="0" w:space="0" w:color="auto"/>
        <w:left w:val="none" w:sz="0" w:space="0" w:color="auto"/>
        <w:bottom w:val="none" w:sz="0" w:space="0" w:color="auto"/>
        <w:right w:val="none" w:sz="0" w:space="0" w:color="auto"/>
      </w:divBdr>
    </w:div>
    <w:div w:id="1198663740">
      <w:bodyDiv w:val="1"/>
      <w:marLeft w:val="0"/>
      <w:marRight w:val="0"/>
      <w:marTop w:val="0"/>
      <w:marBottom w:val="0"/>
      <w:divBdr>
        <w:top w:val="none" w:sz="0" w:space="0" w:color="auto"/>
        <w:left w:val="none" w:sz="0" w:space="0" w:color="auto"/>
        <w:bottom w:val="none" w:sz="0" w:space="0" w:color="auto"/>
        <w:right w:val="none" w:sz="0" w:space="0" w:color="auto"/>
      </w:divBdr>
    </w:div>
    <w:div w:id="13811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io.usfq.edu.ec/handle/23000/764" TargetMode="External"/><Relationship Id="rId18" Type="http://schemas.openxmlformats.org/officeDocument/2006/relationships/hyperlink" Target="http://scielo.sld.cu/scielo.php?script=sci_arttext&amp;pid=S0864-02892012000400013" TargetMode="External"/><Relationship Id="rId26" Type="http://schemas.openxmlformats.org/officeDocument/2006/relationships/hyperlink" Target="http://www.ncbi.nlm.nih.gov/pmc/articles/PMC3934221/" TargetMode="External"/><Relationship Id="rId3" Type="http://schemas.openxmlformats.org/officeDocument/2006/relationships/styles" Target="styles.xml"/><Relationship Id="rId21" Type="http://schemas.openxmlformats.org/officeDocument/2006/relationships/hyperlink" Target="http://scielo.sld.cu/scielo.php?script=sci_arttext&amp;pid=S0864-02892015000300007&amp;lng=es" TargetMode="External"/><Relationship Id="rId7" Type="http://schemas.openxmlformats.org/officeDocument/2006/relationships/footnotes" Target="footnotes.xml"/><Relationship Id="rId12" Type="http://schemas.openxmlformats.org/officeDocument/2006/relationships/hyperlink" Target="javascript:void(submit_GET_METHOD(0,0,'show_qualifier','AE'))" TargetMode="External"/><Relationship Id="rId17" Type="http://schemas.openxmlformats.org/officeDocument/2006/relationships/hyperlink" Target="http://scielo.sld.cu/scielo.php?script=sci_arttext&amp;pid=S0864-02892015000400012" TargetMode="External"/><Relationship Id="rId25" Type="http://schemas.openxmlformats.org/officeDocument/2006/relationships/hyperlink" Target="http://www.scielo.br/scielo.php?pid=S1516-84842013000300158&amp;script=sci_arttext&amp;tlng=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elo.sld.cu/scielo.php?script=sci_arttext&amp;pid=S0864-02892013000200006" TargetMode="External"/><Relationship Id="rId20" Type="http://schemas.openxmlformats.org/officeDocument/2006/relationships/hyperlink" Target="http://www.scielo.org.co/pdf/rca/v40n4/v40n4a01" TargetMode="External"/><Relationship Id="rId29" Type="http://schemas.openxmlformats.org/officeDocument/2006/relationships/hyperlink" Target="http://www.sciencedirect.com/science/article/pii/S08877963100008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submit_GET_METHOD(0,0,'show_qualifier','ST'))" TargetMode="External"/><Relationship Id="rId24" Type="http://schemas.openxmlformats.org/officeDocument/2006/relationships/hyperlink" Target="http://scielo.sld.cu/scielo.php?script=sci_arttext&amp;pid=S0864-0289201200040001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nnals.org/article.aspx?articleid=1206681" TargetMode="External"/><Relationship Id="rId23" Type="http://schemas.openxmlformats.org/officeDocument/2006/relationships/hyperlink" Target="http://www.karger.com/Article/Abstract/313993" TargetMode="External"/><Relationship Id="rId28" Type="http://schemas.openxmlformats.org/officeDocument/2006/relationships/hyperlink" Target="http://jidc.org" TargetMode="External"/><Relationship Id="rId10" Type="http://schemas.openxmlformats.org/officeDocument/2006/relationships/hyperlink" Target="javascript:void(submit_GET_METHOD(0,0,'show_qualifier','MT'))" TargetMode="External"/><Relationship Id="rId19" Type="http://schemas.openxmlformats.org/officeDocument/2006/relationships/hyperlink" Target="http://tesis.repo.sld.cu/436/" TargetMode="External"/><Relationship Id="rId31" Type="http://schemas.openxmlformats.org/officeDocument/2006/relationships/hyperlink" Target="http://scielo.sld.cu/scielo.php?script=sci_arttext&amp;pid=S0034-75152004000200008" TargetMode="External"/><Relationship Id="rId4" Type="http://schemas.microsoft.com/office/2007/relationships/stylesWithEffects" Target="stylesWithEffects.xml"/><Relationship Id="rId9" Type="http://schemas.openxmlformats.org/officeDocument/2006/relationships/hyperlink" Target="javascript:void(submit_POST_METHOD(0,0,'exact_term','An&#225;lisis%20Qu&#237;mico%20de%20la%20Sangre','list_terms'))" TargetMode="External"/><Relationship Id="rId14" Type="http://schemas.openxmlformats.org/officeDocument/2006/relationships/hyperlink" Target="http://onlinelibrary.wiley.com/doi/10.1111/j.1537-2995.2011.03406.x/full" TargetMode="External"/><Relationship Id="rId22" Type="http://schemas.openxmlformats.org/officeDocument/2006/relationships/hyperlink" Target="http://www.bloodjournal.org/content/104/8/2263.short?sso-checked=true" TargetMode="External"/><Relationship Id="rId27" Type="http://schemas.openxmlformats.org/officeDocument/2006/relationships/hyperlink" Target="http://www.who.int/bloodsafety/global_database/GDBS_Summary_Report_2011.pdf?ua=1" TargetMode="External"/><Relationship Id="rId30" Type="http://schemas.openxmlformats.org/officeDocument/2006/relationships/hyperlink" Target="http://ajt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A569-46F3-4770-AEED-64B3FA00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4203</Words>
  <Characters>23120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Dianelys Diaz</dc:creator>
  <cp:lastModifiedBy>Veronica</cp:lastModifiedBy>
  <cp:revision>4</cp:revision>
  <dcterms:created xsi:type="dcterms:W3CDTF">2016-06-22T13:57:00Z</dcterms:created>
  <dcterms:modified xsi:type="dcterms:W3CDTF">2016-06-22T14:01:00Z</dcterms:modified>
</cp:coreProperties>
</file>